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3E2D79" w14:textId="257CF5B0" w:rsidR="00B42528" w:rsidRPr="00E96342" w:rsidRDefault="00A262BA" w:rsidP="00B42528">
      <w:pPr>
        <w:spacing w:after="120" w:line="288" w:lineRule="auto"/>
        <w:jc w:val="both"/>
        <w:rPr>
          <w:rFonts w:ascii="Arial" w:hAnsi="Arial" w:cs="Arial"/>
          <w:lang w:val="de-DE"/>
        </w:rPr>
      </w:pPr>
      <w:r w:rsidRPr="00A262BA">
        <w:rPr>
          <w:rFonts w:ascii="Arial" w:hAnsi="Arial" w:cs="Arial"/>
          <w:lang w:val="de-DE"/>
        </w:rPr>
        <w:t>Innovation:</w:t>
      </w:r>
      <w:r>
        <w:rPr>
          <w:rFonts w:ascii="Arial" w:eastAsia="MS Mincho" w:hAnsi="Arial" w:cs="Arial"/>
          <w:b/>
          <w:color w:val="000000" w:themeColor="text1"/>
          <w:sz w:val="16"/>
          <w:szCs w:val="18"/>
          <w:lang w:val="de-DE"/>
        </w:rPr>
        <w:t xml:space="preserve"> </w:t>
      </w:r>
      <w:r w:rsidR="00B42528" w:rsidRPr="7A26A6E9">
        <w:rPr>
          <w:rFonts w:ascii="Arial" w:hAnsi="Arial" w:cs="Arial"/>
          <w:lang w:val="de-DE"/>
        </w:rPr>
        <w:t>ADC Adaptive Drilling Control</w:t>
      </w:r>
    </w:p>
    <w:p w14:paraId="3B634895" w14:textId="77777777" w:rsidR="00B42528" w:rsidRPr="00270FC7" w:rsidRDefault="00B42528" w:rsidP="00B42528">
      <w:pPr>
        <w:pStyle w:val="02Aufzhlung"/>
        <w:numPr>
          <w:ilvl w:val="0"/>
          <w:numId w:val="0"/>
        </w:numPr>
        <w:tabs>
          <w:tab w:val="clear" w:pos="340"/>
          <w:tab w:val="left" w:pos="227"/>
        </w:tabs>
        <w:rPr>
          <w:rFonts w:ascii="Arial" w:hAnsi="Arial" w:cs="Arial"/>
          <w:b/>
          <w:bCs/>
          <w:color w:val="000000" w:themeColor="text1"/>
          <w:spacing w:val="2"/>
          <w:sz w:val="35"/>
          <w:szCs w:val="35"/>
        </w:rPr>
      </w:pPr>
      <w:r>
        <w:rPr>
          <w:rFonts w:ascii="Arial" w:hAnsi="Arial" w:cs="Arial"/>
          <w:b/>
          <w:bCs/>
          <w:color w:val="000000" w:themeColor="text1"/>
          <w:spacing w:val="2"/>
          <w:sz w:val="35"/>
          <w:szCs w:val="35"/>
        </w:rPr>
        <w:t xml:space="preserve">Neuer Technologiezyklus für adaptives </w:t>
      </w:r>
      <w:r w:rsidRPr="7A26A6E9">
        <w:rPr>
          <w:rFonts w:ascii="Arial" w:hAnsi="Arial" w:cs="Arial"/>
          <w:b/>
          <w:bCs/>
          <w:color w:val="000000" w:themeColor="text1"/>
          <w:sz w:val="35"/>
          <w:szCs w:val="35"/>
        </w:rPr>
        <w:t xml:space="preserve">Bohren, Tieflochbohren und </w:t>
      </w:r>
      <w:proofErr w:type="spellStart"/>
      <w:r w:rsidRPr="7A26A6E9">
        <w:rPr>
          <w:rFonts w:ascii="Arial" w:hAnsi="Arial" w:cs="Arial"/>
          <w:b/>
          <w:bCs/>
          <w:color w:val="000000" w:themeColor="text1"/>
          <w:sz w:val="35"/>
          <w:szCs w:val="35"/>
        </w:rPr>
        <w:t>gunDrill</w:t>
      </w:r>
      <w:proofErr w:type="spellEnd"/>
      <w:r w:rsidRPr="7A26A6E9">
        <w:rPr>
          <w:rFonts w:ascii="Arial" w:hAnsi="Arial" w:cs="Arial"/>
          <w:b/>
          <w:bCs/>
          <w:color w:val="000000" w:themeColor="text1"/>
          <w:sz w:val="35"/>
          <w:szCs w:val="35"/>
        </w:rPr>
        <w:t xml:space="preserve"> auf DMG MORI Bearbeitungszentren</w:t>
      </w:r>
    </w:p>
    <w:p w14:paraId="6AE45CDC" w14:textId="45421C8D" w:rsidR="00B42528" w:rsidRDefault="00B42528" w:rsidP="00B42528">
      <w:pPr>
        <w:spacing w:before="240" w:after="120" w:line="288" w:lineRule="auto"/>
        <w:jc w:val="both"/>
        <w:rPr>
          <w:rFonts w:ascii="Arial" w:eastAsia="Calibri" w:hAnsi="Arial" w:cs="Arial"/>
          <w:color w:val="000000" w:themeColor="text1"/>
          <w:lang w:val="de-DE"/>
        </w:rPr>
      </w:pPr>
      <w:r w:rsidRPr="6E887ED0">
        <w:rPr>
          <w:rFonts w:ascii="Arial" w:eastAsia="Calibri" w:hAnsi="Arial" w:cs="Arial"/>
          <w:b/>
          <w:bCs/>
          <w:color w:val="000000" w:themeColor="text1"/>
          <w:lang w:val="de-DE"/>
        </w:rPr>
        <w:t>München.</w:t>
      </w:r>
      <w:r w:rsidRPr="6E887ED0">
        <w:rPr>
          <w:rFonts w:ascii="Arial" w:eastAsia="Calibri" w:hAnsi="Arial" w:cs="Arial"/>
          <w:color w:val="000000" w:themeColor="text1"/>
          <w:lang w:val="de-DE"/>
        </w:rPr>
        <w:t xml:space="preserve"> Zur Hausausstellung 2026 in Pfronten präsentiert DMG MORI mit dem Technologiezyklus Adaptive Drilling Control (ADC) einen neuen Meilenstein in der Prozesssicherheit, Qualität und einfacher Bedienung beim Bohren auf Universal-Bearbeitungszentren. Speziell das Tieflochbohren bzw. GunDrilling stellt hohe Ansprüche an den Bediener und die Maschine. Durch diese Technologie wird der Prozess </w:t>
      </w:r>
      <w:r w:rsidR="00077427">
        <w:rPr>
          <w:rFonts w:ascii="Arial" w:eastAsia="Calibri" w:hAnsi="Arial" w:cs="Arial"/>
          <w:color w:val="000000" w:themeColor="text1"/>
          <w:lang w:val="de-DE"/>
        </w:rPr>
        <w:t>steuerbar</w:t>
      </w:r>
      <w:r w:rsidRPr="6E887ED0">
        <w:rPr>
          <w:rFonts w:ascii="Arial" w:eastAsia="Calibri" w:hAnsi="Arial" w:cs="Arial"/>
          <w:color w:val="000000" w:themeColor="text1"/>
          <w:lang w:val="de-DE"/>
        </w:rPr>
        <w:t>. ADC macht aus einer bislang auf Erfahrung basierenden komplexen Technologie einen aktiv geregelten und überwachten Bohrprozess – mit messbaren Standards für Prozesssicherheit, erhöhter Qualität und Standzeit, einfacher Bedienung, Prozessüberwachung und Energieeffizienz.</w:t>
      </w:r>
    </w:p>
    <w:p w14:paraId="55CB50DE" w14:textId="77777777" w:rsidR="00B42528" w:rsidRPr="00270FC7" w:rsidRDefault="00B42528" w:rsidP="00B42528">
      <w:pPr>
        <w:spacing w:before="240" w:after="120" w:line="288" w:lineRule="auto"/>
        <w:jc w:val="both"/>
        <w:rPr>
          <w:rFonts w:ascii="Arial" w:eastAsia="Calibri" w:hAnsi="Arial" w:cs="Arial"/>
          <w:b/>
          <w:color w:val="000000" w:themeColor="text1"/>
          <w:lang w:val="de-DE"/>
        </w:rPr>
      </w:pPr>
      <w:r w:rsidRPr="00270FC7">
        <w:rPr>
          <w:rFonts w:ascii="Arial" w:eastAsia="Calibri" w:hAnsi="Arial" w:cs="Arial"/>
          <w:b/>
          <w:color w:val="000000" w:themeColor="text1"/>
          <w:lang w:val="de-DE"/>
        </w:rPr>
        <w:t>Vom kritischen Sonderfall zum geregelten Standardverfahren</w:t>
      </w:r>
    </w:p>
    <w:p w14:paraId="73EA32AE" w14:textId="144E21F8" w:rsidR="00B42528" w:rsidRDefault="00B42528" w:rsidP="00B42528">
      <w:pPr>
        <w:spacing w:after="120" w:line="288" w:lineRule="auto"/>
        <w:jc w:val="both"/>
        <w:rPr>
          <w:rFonts w:ascii="Arial" w:eastAsia="Calibri" w:hAnsi="Arial" w:cs="Arial"/>
          <w:color w:val="000000" w:themeColor="text1"/>
          <w:lang w:val="de-DE"/>
        </w:rPr>
      </w:pPr>
      <w:r w:rsidRPr="7A26A6E9">
        <w:rPr>
          <w:rFonts w:ascii="Arial" w:eastAsia="Calibri" w:hAnsi="Arial" w:cs="Arial"/>
          <w:color w:val="000000" w:themeColor="text1"/>
          <w:lang w:val="de-DE"/>
        </w:rPr>
        <w:t xml:space="preserve">Speziell das Tieflochbohren gehört zu den kritischsten </w:t>
      </w:r>
      <w:r w:rsidR="00C73520">
        <w:rPr>
          <w:rFonts w:ascii="Arial" w:eastAsia="Calibri" w:hAnsi="Arial" w:cs="Arial"/>
          <w:color w:val="000000" w:themeColor="text1"/>
          <w:lang w:val="de-DE"/>
        </w:rPr>
        <w:t>Bearbeitungsschritte</w:t>
      </w:r>
      <w:r w:rsidR="00C73520" w:rsidRPr="7A26A6E9">
        <w:rPr>
          <w:rFonts w:ascii="Arial" w:eastAsia="Calibri" w:hAnsi="Arial" w:cs="Arial"/>
          <w:color w:val="000000" w:themeColor="text1"/>
          <w:lang w:val="de-DE"/>
        </w:rPr>
        <w:t xml:space="preserve"> </w:t>
      </w:r>
      <w:r w:rsidRPr="7A26A6E9">
        <w:rPr>
          <w:rFonts w:ascii="Arial" w:eastAsia="Calibri" w:hAnsi="Arial" w:cs="Arial"/>
          <w:color w:val="000000" w:themeColor="text1"/>
          <w:lang w:val="de-DE"/>
        </w:rPr>
        <w:t xml:space="preserve">in der spanenden Fertigung. </w:t>
      </w:r>
      <w:proofErr w:type="spellStart"/>
      <w:r w:rsidRPr="7A26A6E9">
        <w:rPr>
          <w:rFonts w:ascii="Arial" w:eastAsia="Calibri" w:hAnsi="Arial" w:cs="Arial"/>
          <w:color w:val="000000" w:themeColor="text1"/>
          <w:lang w:val="de-DE"/>
        </w:rPr>
        <w:t>Sp</w:t>
      </w:r>
      <w:r>
        <w:rPr>
          <w:rFonts w:ascii="Arial" w:eastAsia="Calibri" w:hAnsi="Arial" w:cs="Arial"/>
          <w:color w:val="000000" w:themeColor="text1"/>
          <w:lang w:val="de-DE"/>
        </w:rPr>
        <w:t>ä</w:t>
      </w:r>
      <w:r w:rsidRPr="7A26A6E9">
        <w:rPr>
          <w:rFonts w:ascii="Arial" w:eastAsia="Calibri" w:hAnsi="Arial" w:cs="Arial"/>
          <w:color w:val="000000" w:themeColor="text1"/>
          <w:lang w:val="de-DE"/>
        </w:rPr>
        <w:t>n</w:t>
      </w:r>
      <w:r>
        <w:rPr>
          <w:rFonts w:ascii="Arial" w:eastAsia="Calibri" w:hAnsi="Arial" w:cs="Arial"/>
          <w:color w:val="000000" w:themeColor="text1"/>
          <w:lang w:val="de-DE"/>
        </w:rPr>
        <w:t>e</w:t>
      </w:r>
      <w:r w:rsidRPr="7A26A6E9">
        <w:rPr>
          <w:rFonts w:ascii="Arial" w:eastAsia="Calibri" w:hAnsi="Arial" w:cs="Arial"/>
          <w:color w:val="000000" w:themeColor="text1"/>
          <w:lang w:val="de-DE"/>
        </w:rPr>
        <w:t>stau</w:t>
      </w:r>
      <w:proofErr w:type="spellEnd"/>
      <w:r w:rsidRPr="7A26A6E9">
        <w:rPr>
          <w:rFonts w:ascii="Arial" w:eastAsia="Calibri" w:hAnsi="Arial" w:cs="Arial"/>
          <w:color w:val="000000" w:themeColor="text1"/>
          <w:lang w:val="de-DE"/>
        </w:rPr>
        <w:t>, verlaufende Bohrungen, Querbohrungen oder Werkzeugbruch bedeuten nicht nur Ausschuss, sondern gefährden Liefertermine und Kundenbeziehungen – besonders bei Bauteilen mit hoher Wertschöpfungstiefe wie Kurbelwellen, Einspritzsystemen, Turbinenbauteilen oder medizintechnischen Implantaten.</w:t>
      </w:r>
    </w:p>
    <w:p w14:paraId="7CAF800B" w14:textId="4D206DAB" w:rsidR="00B42528" w:rsidRDefault="00B42528" w:rsidP="00B42528">
      <w:pPr>
        <w:spacing w:after="120" w:line="288" w:lineRule="auto"/>
        <w:jc w:val="both"/>
        <w:rPr>
          <w:rFonts w:ascii="Arial" w:eastAsia="Calibri" w:hAnsi="Arial" w:cs="Arial"/>
          <w:bCs/>
          <w:color w:val="000000" w:themeColor="text1"/>
          <w:lang w:val="de-DE"/>
        </w:rPr>
      </w:pPr>
      <w:r w:rsidRPr="00270FC7">
        <w:rPr>
          <w:rFonts w:ascii="Arial" w:eastAsia="Calibri" w:hAnsi="Arial" w:cs="Arial"/>
          <w:bCs/>
          <w:color w:val="000000" w:themeColor="text1"/>
          <w:lang w:val="de-DE"/>
        </w:rPr>
        <w:t>Mit der zunehmenden Verlagerung spezialisierter Tief</w:t>
      </w:r>
      <w:r>
        <w:rPr>
          <w:rFonts w:ascii="Arial" w:eastAsia="Calibri" w:hAnsi="Arial" w:cs="Arial"/>
          <w:bCs/>
          <w:color w:val="000000" w:themeColor="text1"/>
          <w:lang w:val="de-DE"/>
        </w:rPr>
        <w:t>loch</w:t>
      </w:r>
      <w:r w:rsidRPr="00270FC7">
        <w:rPr>
          <w:rFonts w:ascii="Arial" w:eastAsia="Calibri" w:hAnsi="Arial" w:cs="Arial"/>
          <w:bCs/>
          <w:color w:val="000000" w:themeColor="text1"/>
          <w:lang w:val="de-DE"/>
        </w:rPr>
        <w:t>bohrarbeiten auf Universal-Bearbeitungszentren verschieb</w:t>
      </w:r>
      <w:r>
        <w:rPr>
          <w:rFonts w:ascii="Arial" w:eastAsia="Calibri" w:hAnsi="Arial" w:cs="Arial"/>
          <w:bCs/>
          <w:color w:val="000000" w:themeColor="text1"/>
          <w:lang w:val="de-DE"/>
        </w:rPr>
        <w:t>en</w:t>
      </w:r>
      <w:r w:rsidRPr="00270FC7">
        <w:rPr>
          <w:rFonts w:ascii="Arial" w:eastAsia="Calibri" w:hAnsi="Arial" w:cs="Arial"/>
          <w:bCs/>
          <w:color w:val="000000" w:themeColor="text1"/>
          <w:lang w:val="de-DE"/>
        </w:rPr>
        <w:t xml:space="preserve"> sich die </w:t>
      </w:r>
      <w:r>
        <w:rPr>
          <w:rFonts w:ascii="Arial" w:eastAsia="Calibri" w:hAnsi="Arial" w:cs="Arial"/>
          <w:bCs/>
          <w:color w:val="000000" w:themeColor="text1"/>
          <w:lang w:val="de-DE"/>
        </w:rPr>
        <w:t>Verantwortlichkeiten</w:t>
      </w:r>
      <w:r w:rsidRPr="00270FC7">
        <w:rPr>
          <w:rFonts w:ascii="Arial" w:eastAsia="Calibri" w:hAnsi="Arial" w:cs="Arial"/>
          <w:bCs/>
          <w:color w:val="000000" w:themeColor="text1"/>
          <w:lang w:val="de-DE"/>
        </w:rPr>
        <w:t xml:space="preserve">: Hochspezifische </w:t>
      </w:r>
      <w:r>
        <w:rPr>
          <w:rFonts w:ascii="Arial" w:eastAsia="Calibri" w:hAnsi="Arial" w:cs="Arial"/>
          <w:bCs/>
          <w:color w:val="000000" w:themeColor="text1"/>
          <w:lang w:val="de-DE"/>
        </w:rPr>
        <w:t>A</w:t>
      </w:r>
      <w:r w:rsidRPr="00270FC7">
        <w:rPr>
          <w:rFonts w:ascii="Arial" w:eastAsia="Calibri" w:hAnsi="Arial" w:cs="Arial"/>
          <w:bCs/>
          <w:color w:val="000000" w:themeColor="text1"/>
          <w:lang w:val="de-DE"/>
        </w:rPr>
        <w:t xml:space="preserve">nforderungen </w:t>
      </w:r>
      <w:r w:rsidR="00BA4810" w:rsidRPr="00BA4810">
        <w:rPr>
          <w:rFonts w:ascii="Arial" w:eastAsia="Calibri" w:hAnsi="Arial" w:cs="Arial"/>
          <w:bCs/>
          <w:color w:val="000000" w:themeColor="text1"/>
          <w:lang w:val="de-DE"/>
        </w:rPr>
        <w:t>treffen zunehmend auf Fertigungsumgebungen, in denen nicht jeder Bediener über tiefbohrspezifisches Expertenwissen verfügt.</w:t>
      </w:r>
      <w:r w:rsidR="00BA4810">
        <w:rPr>
          <w:rFonts w:ascii="Arial" w:eastAsia="Calibri" w:hAnsi="Arial" w:cs="Arial"/>
          <w:bCs/>
          <w:color w:val="000000" w:themeColor="text1"/>
          <w:lang w:val="de-DE"/>
        </w:rPr>
        <w:t xml:space="preserve"> </w:t>
      </w:r>
      <w:r w:rsidRPr="00022069">
        <w:rPr>
          <w:rFonts w:ascii="Arial" w:eastAsia="Calibri" w:hAnsi="Arial" w:cs="Arial"/>
          <w:bCs/>
          <w:color w:val="000000" w:themeColor="text1"/>
          <w:lang w:val="de-DE"/>
        </w:rPr>
        <w:t>Klassische Zyklen arbeiten hier mit starren Parametern</w:t>
      </w:r>
      <w:r>
        <w:rPr>
          <w:rFonts w:ascii="Arial" w:eastAsia="Calibri" w:hAnsi="Arial" w:cs="Arial"/>
          <w:bCs/>
          <w:color w:val="000000" w:themeColor="text1"/>
          <w:lang w:val="de-DE"/>
        </w:rPr>
        <w:t>.</w:t>
      </w:r>
      <w:r w:rsidRPr="00022069">
        <w:rPr>
          <w:rFonts w:ascii="Arial" w:eastAsia="Calibri" w:hAnsi="Arial" w:cs="Arial"/>
          <w:bCs/>
          <w:color w:val="000000" w:themeColor="text1"/>
          <w:lang w:val="de-DE"/>
        </w:rPr>
        <w:t xml:space="preserve"> </w:t>
      </w:r>
      <w:r>
        <w:rPr>
          <w:rFonts w:ascii="Arial" w:eastAsia="Calibri" w:hAnsi="Arial" w:cs="Arial"/>
          <w:bCs/>
          <w:color w:val="000000" w:themeColor="text1"/>
          <w:lang w:val="de-DE"/>
        </w:rPr>
        <w:t>S</w:t>
      </w:r>
      <w:r w:rsidRPr="00022069">
        <w:rPr>
          <w:rFonts w:ascii="Arial" w:eastAsia="Calibri" w:hAnsi="Arial" w:cs="Arial"/>
          <w:bCs/>
          <w:color w:val="000000" w:themeColor="text1"/>
          <w:lang w:val="de-DE"/>
        </w:rPr>
        <w:t>obald Material, Werkzeugzustand oder Kühlschmierstoff vom Idealbild abweichen, steigt das Prozessrisiko schlagartig.</w:t>
      </w:r>
      <w:r w:rsidR="009440C4">
        <w:rPr>
          <w:rFonts w:ascii="Arial" w:eastAsia="Calibri" w:hAnsi="Arial" w:cs="Arial"/>
          <w:bCs/>
          <w:color w:val="000000" w:themeColor="text1"/>
          <w:lang w:val="de-DE"/>
        </w:rPr>
        <w:t xml:space="preserve"> </w:t>
      </w:r>
      <w:r w:rsidRPr="00270FC7">
        <w:rPr>
          <w:rFonts w:ascii="Arial" w:eastAsia="Calibri" w:hAnsi="Arial" w:cs="Arial"/>
          <w:bCs/>
          <w:color w:val="000000" w:themeColor="text1"/>
          <w:lang w:val="de-DE"/>
        </w:rPr>
        <w:t xml:space="preserve">Adaptive Drilling Control </w:t>
      </w:r>
      <w:r>
        <w:rPr>
          <w:rFonts w:ascii="Arial" w:eastAsia="Calibri" w:hAnsi="Arial" w:cs="Arial"/>
          <w:bCs/>
          <w:color w:val="000000" w:themeColor="text1"/>
          <w:lang w:val="de-DE"/>
        </w:rPr>
        <w:t xml:space="preserve">von DMG MORI </w:t>
      </w:r>
      <w:r w:rsidRPr="00270FC7">
        <w:rPr>
          <w:rFonts w:ascii="Arial" w:eastAsia="Calibri" w:hAnsi="Arial" w:cs="Arial"/>
          <w:bCs/>
          <w:color w:val="000000" w:themeColor="text1"/>
          <w:lang w:val="de-DE"/>
        </w:rPr>
        <w:t xml:space="preserve">adressiert genau diese Schwachstelle. Der Prozess wird </w:t>
      </w:r>
      <w:r>
        <w:rPr>
          <w:rFonts w:ascii="Arial" w:eastAsia="Calibri" w:hAnsi="Arial" w:cs="Arial"/>
          <w:bCs/>
          <w:color w:val="000000" w:themeColor="text1"/>
          <w:lang w:val="de-DE"/>
        </w:rPr>
        <w:t xml:space="preserve">jetzt </w:t>
      </w:r>
      <w:r w:rsidRPr="00270FC7">
        <w:rPr>
          <w:rFonts w:ascii="Arial" w:eastAsia="Calibri" w:hAnsi="Arial" w:cs="Arial"/>
          <w:bCs/>
          <w:color w:val="000000" w:themeColor="text1"/>
          <w:lang w:val="de-DE"/>
        </w:rPr>
        <w:t xml:space="preserve">nicht mehr nur eingestellt, sondern aktiv </w:t>
      </w:r>
      <w:r>
        <w:rPr>
          <w:rFonts w:ascii="Arial" w:eastAsia="Calibri" w:hAnsi="Arial" w:cs="Arial"/>
          <w:bCs/>
          <w:color w:val="000000" w:themeColor="text1"/>
          <w:lang w:val="de-DE"/>
        </w:rPr>
        <w:t xml:space="preserve">und adaptiv </w:t>
      </w:r>
      <w:r w:rsidRPr="00270FC7">
        <w:rPr>
          <w:rFonts w:ascii="Arial" w:eastAsia="Calibri" w:hAnsi="Arial" w:cs="Arial"/>
          <w:bCs/>
          <w:color w:val="000000" w:themeColor="text1"/>
          <w:lang w:val="de-DE"/>
        </w:rPr>
        <w:t>geregelt. Sensoren für Druck, Durchfluss und Last liefern kontinuierlich Zustandsinformationen, die der ADC-Zyklus nutzt, um Kühlmittelversorgung und Bearbeitungsstrategie i</w:t>
      </w:r>
      <w:r>
        <w:rPr>
          <w:rFonts w:ascii="Arial" w:eastAsia="Calibri" w:hAnsi="Arial" w:cs="Arial"/>
          <w:bCs/>
          <w:color w:val="000000" w:themeColor="text1"/>
          <w:lang w:val="de-DE"/>
        </w:rPr>
        <w:t>m</w:t>
      </w:r>
      <w:r w:rsidRPr="00270FC7">
        <w:rPr>
          <w:rFonts w:ascii="Arial" w:eastAsia="Calibri" w:hAnsi="Arial" w:cs="Arial"/>
          <w:bCs/>
          <w:color w:val="000000" w:themeColor="text1"/>
          <w:lang w:val="de-DE"/>
        </w:rPr>
        <w:t xml:space="preserve"> geschlossenen Regelkreis zu führen.</w:t>
      </w:r>
    </w:p>
    <w:p w14:paraId="52A97C05" w14:textId="77777777" w:rsidR="00A262BA" w:rsidRDefault="00A262BA" w:rsidP="00B42528">
      <w:pPr>
        <w:spacing w:after="120" w:line="288" w:lineRule="auto"/>
        <w:jc w:val="both"/>
        <w:rPr>
          <w:rFonts w:ascii="Arial" w:eastAsia="Calibri" w:hAnsi="Arial" w:cs="Arial"/>
          <w:bCs/>
          <w:color w:val="000000" w:themeColor="text1"/>
          <w:lang w:val="de-DE"/>
        </w:rPr>
      </w:pPr>
    </w:p>
    <w:p w14:paraId="7EB2F7FA" w14:textId="77777777" w:rsidR="00A262BA" w:rsidRDefault="00A262BA" w:rsidP="00B42528">
      <w:pPr>
        <w:spacing w:after="120" w:line="288" w:lineRule="auto"/>
        <w:jc w:val="both"/>
        <w:rPr>
          <w:rFonts w:ascii="Arial" w:eastAsia="Calibri" w:hAnsi="Arial" w:cs="Arial"/>
          <w:bCs/>
          <w:color w:val="000000" w:themeColor="text1"/>
          <w:lang w:val="de-DE"/>
        </w:rPr>
      </w:pPr>
    </w:p>
    <w:p w14:paraId="5D22AAFA" w14:textId="77777777" w:rsidR="00A262BA" w:rsidRDefault="00A262BA" w:rsidP="00B42528">
      <w:pPr>
        <w:spacing w:after="120" w:line="288" w:lineRule="auto"/>
        <w:jc w:val="both"/>
        <w:rPr>
          <w:rFonts w:ascii="Arial" w:eastAsia="Calibri" w:hAnsi="Arial" w:cs="Arial"/>
          <w:bCs/>
          <w:color w:val="000000" w:themeColor="text1"/>
          <w:lang w:val="de-DE"/>
        </w:rPr>
      </w:pPr>
    </w:p>
    <w:p w14:paraId="05FD616B" w14:textId="77777777" w:rsidR="00A262BA" w:rsidRPr="00270FC7" w:rsidRDefault="00A262BA" w:rsidP="00B42528">
      <w:pPr>
        <w:spacing w:after="120" w:line="288" w:lineRule="auto"/>
        <w:jc w:val="both"/>
        <w:rPr>
          <w:rFonts w:ascii="Arial" w:eastAsia="Calibri" w:hAnsi="Arial" w:cs="Arial"/>
          <w:bCs/>
          <w:color w:val="000000" w:themeColor="text1"/>
          <w:lang w:val="de-DE"/>
        </w:rPr>
      </w:pPr>
    </w:p>
    <w:p w14:paraId="73D01736" w14:textId="77777777" w:rsidR="00B42528" w:rsidRPr="00270FC7" w:rsidRDefault="00B42528" w:rsidP="00B42528">
      <w:pPr>
        <w:spacing w:before="240" w:after="120" w:line="288" w:lineRule="auto"/>
        <w:jc w:val="both"/>
        <w:rPr>
          <w:rFonts w:ascii="Arial" w:eastAsia="Calibri" w:hAnsi="Arial" w:cs="Arial"/>
          <w:b/>
          <w:color w:val="000000" w:themeColor="text1"/>
          <w:lang w:val="de-DE"/>
        </w:rPr>
      </w:pPr>
      <w:r w:rsidRPr="00270FC7">
        <w:rPr>
          <w:rFonts w:ascii="Arial" w:eastAsia="Calibri" w:hAnsi="Arial" w:cs="Arial"/>
          <w:b/>
          <w:color w:val="000000" w:themeColor="text1"/>
          <w:lang w:val="de-DE"/>
        </w:rPr>
        <w:lastRenderedPageBreak/>
        <w:t>Ein Zyklus für alle Bohranwendungen</w:t>
      </w:r>
    </w:p>
    <w:p w14:paraId="11175E24" w14:textId="77777777" w:rsidR="00B42528" w:rsidRPr="00270FC7" w:rsidRDefault="00B42528" w:rsidP="00B42528">
      <w:pPr>
        <w:spacing w:after="120" w:line="288" w:lineRule="auto"/>
        <w:jc w:val="both"/>
        <w:rPr>
          <w:rFonts w:ascii="Arial" w:eastAsia="Calibri" w:hAnsi="Arial" w:cs="Arial"/>
          <w:bCs/>
          <w:color w:val="000000" w:themeColor="text1"/>
          <w:lang w:val="de-DE"/>
        </w:rPr>
      </w:pPr>
      <w:r w:rsidRPr="00270FC7">
        <w:rPr>
          <w:rFonts w:ascii="Arial" w:eastAsia="Calibri" w:hAnsi="Arial" w:cs="Arial"/>
          <w:bCs/>
          <w:color w:val="000000" w:themeColor="text1"/>
          <w:lang w:val="de-DE"/>
        </w:rPr>
        <w:t xml:space="preserve">ADC bündelt </w:t>
      </w:r>
      <w:r>
        <w:rPr>
          <w:rFonts w:ascii="Arial" w:eastAsia="Calibri" w:hAnsi="Arial" w:cs="Arial"/>
          <w:bCs/>
          <w:color w:val="000000" w:themeColor="text1"/>
          <w:lang w:val="de-DE"/>
        </w:rPr>
        <w:t xml:space="preserve">darüber hinaus </w:t>
      </w:r>
      <w:r w:rsidRPr="00270FC7">
        <w:rPr>
          <w:rFonts w:ascii="Arial" w:eastAsia="Calibri" w:hAnsi="Arial" w:cs="Arial"/>
          <w:bCs/>
          <w:color w:val="000000" w:themeColor="text1"/>
          <w:lang w:val="de-DE"/>
        </w:rPr>
        <w:t xml:space="preserve">Standardbohren, Tieflochbohren und </w:t>
      </w:r>
      <w:r>
        <w:rPr>
          <w:rFonts w:ascii="Arial" w:eastAsia="Calibri" w:hAnsi="Arial" w:cs="Arial"/>
          <w:bCs/>
          <w:color w:val="000000" w:themeColor="text1"/>
          <w:lang w:val="de-DE"/>
        </w:rPr>
        <w:t xml:space="preserve">komplexe </w:t>
      </w:r>
      <w:proofErr w:type="spellStart"/>
      <w:r w:rsidRPr="00270FC7">
        <w:rPr>
          <w:rFonts w:ascii="Arial" w:eastAsia="Calibri" w:hAnsi="Arial" w:cs="Arial"/>
          <w:bCs/>
          <w:color w:val="000000" w:themeColor="text1"/>
          <w:lang w:val="de-DE"/>
        </w:rPr>
        <w:t>gunDRILL</w:t>
      </w:r>
      <w:proofErr w:type="spellEnd"/>
      <w:r w:rsidRPr="00270FC7">
        <w:rPr>
          <w:rFonts w:ascii="Arial" w:eastAsia="Calibri" w:hAnsi="Arial" w:cs="Arial"/>
          <w:bCs/>
          <w:color w:val="000000" w:themeColor="text1"/>
          <w:lang w:val="de-DE"/>
        </w:rPr>
        <w:t>-Anwendungen in einem durchgängigen Technologiezyklus mit drei skalierbaren Modi:</w:t>
      </w:r>
    </w:p>
    <w:p w14:paraId="488357BB" w14:textId="77777777" w:rsidR="00B42528" w:rsidRPr="006221EE" w:rsidRDefault="00B42528" w:rsidP="00B42528">
      <w:pPr>
        <w:pStyle w:val="Listenabsatz"/>
        <w:numPr>
          <w:ilvl w:val="0"/>
          <w:numId w:val="2"/>
        </w:numPr>
        <w:spacing w:before="240" w:after="120" w:line="288" w:lineRule="auto"/>
        <w:ind w:left="426" w:hanging="426"/>
        <w:rPr>
          <w:rFonts w:ascii="Arial" w:eastAsia="Calibri" w:hAnsi="Arial" w:cs="Arial"/>
          <w:color w:val="000000" w:themeColor="text1"/>
          <w:lang w:val="de-DE"/>
        </w:rPr>
      </w:pPr>
      <w:bookmarkStart w:id="0" w:name="_Hlk216683283"/>
      <w:r w:rsidRPr="006221EE">
        <w:rPr>
          <w:rFonts w:ascii="Arial" w:eastAsia="Calibri" w:hAnsi="Arial" w:cs="Arial"/>
          <w:color w:val="000000" w:themeColor="text1"/>
          <w:lang w:val="de-DE"/>
        </w:rPr>
        <w:t>Standard</w:t>
      </w:r>
      <w:r>
        <w:rPr>
          <w:rFonts w:ascii="Arial" w:eastAsia="Calibri" w:hAnsi="Arial" w:cs="Arial"/>
          <w:color w:val="000000" w:themeColor="text1"/>
          <w:lang w:val="de-DE"/>
        </w:rPr>
        <w:t>bohren</w:t>
      </w:r>
      <w:r w:rsidRPr="006221EE">
        <w:rPr>
          <w:rFonts w:ascii="Arial" w:eastAsia="Calibri" w:hAnsi="Arial" w:cs="Arial"/>
          <w:color w:val="000000" w:themeColor="text1"/>
          <w:lang w:val="de-DE"/>
        </w:rPr>
        <w:t xml:space="preserve">: </w:t>
      </w:r>
      <w:r w:rsidRPr="005E0F3A">
        <w:rPr>
          <w:rFonts w:ascii="Arial" w:eastAsia="Calibri" w:hAnsi="Arial" w:cs="Arial"/>
          <w:color w:val="000000" w:themeColor="text1"/>
          <w:lang w:val="de-DE"/>
        </w:rPr>
        <w:t>Der Bediener benötigt lediglich die Basisparameter (Position/Muster, Bohrdaten). Zusätzliche Parameter für Kühlmitteldruck bzw. Volumenstrom entfallen – der Zyklus stellt den optimalen Durchfluss sicher, was in der Praxis die Robustheit und Sicherheit des Prozesses steigert.</w:t>
      </w:r>
    </w:p>
    <w:bookmarkEnd w:id="0"/>
    <w:p w14:paraId="71C973CD" w14:textId="77777777" w:rsidR="00B42528" w:rsidRPr="0084203B" w:rsidRDefault="00B42528" w:rsidP="00B42528">
      <w:pPr>
        <w:pStyle w:val="Listenabsatz"/>
        <w:numPr>
          <w:ilvl w:val="0"/>
          <w:numId w:val="2"/>
        </w:numPr>
        <w:spacing w:before="240" w:after="120" w:line="288" w:lineRule="auto"/>
        <w:ind w:left="426" w:hanging="426"/>
        <w:rPr>
          <w:rFonts w:ascii="Arial" w:eastAsia="Calibri" w:hAnsi="Arial" w:cs="Arial"/>
          <w:color w:val="000000" w:themeColor="text1"/>
          <w:lang w:val="de-DE"/>
        </w:rPr>
      </w:pPr>
      <w:r>
        <w:rPr>
          <w:rFonts w:ascii="Arial" w:eastAsia="Calibri" w:hAnsi="Arial" w:cs="Arial"/>
          <w:color w:val="000000" w:themeColor="text1"/>
          <w:lang w:val="de-DE"/>
        </w:rPr>
        <w:t>Tieflochbohren</w:t>
      </w:r>
      <w:r w:rsidRPr="7A26A6E9">
        <w:rPr>
          <w:rFonts w:ascii="Arial" w:eastAsia="Calibri" w:hAnsi="Arial" w:cs="Arial"/>
          <w:color w:val="000000" w:themeColor="text1"/>
          <w:lang w:val="de-DE"/>
        </w:rPr>
        <w:t>: Wenige zusätzliche Eingabefelder für klassische Tieflochbohrungen ergänzen die obigen Angaben</w:t>
      </w:r>
      <w:r>
        <w:rPr>
          <w:rFonts w:ascii="Arial" w:eastAsia="Calibri" w:hAnsi="Arial" w:cs="Arial"/>
          <w:color w:val="000000" w:themeColor="text1"/>
          <w:lang w:val="de-DE"/>
        </w:rPr>
        <w:t>.</w:t>
      </w:r>
    </w:p>
    <w:p w14:paraId="586C7BA1" w14:textId="77777777" w:rsidR="00B42528" w:rsidRPr="0084203B" w:rsidRDefault="00B42528" w:rsidP="00B42528">
      <w:pPr>
        <w:pStyle w:val="Listenabsatz"/>
        <w:numPr>
          <w:ilvl w:val="0"/>
          <w:numId w:val="2"/>
        </w:numPr>
        <w:spacing w:before="240" w:after="120" w:line="288" w:lineRule="auto"/>
        <w:ind w:left="426" w:hanging="426"/>
        <w:rPr>
          <w:rFonts w:ascii="Arial" w:eastAsia="Calibri" w:hAnsi="Arial" w:cs="Arial"/>
          <w:color w:val="000000" w:themeColor="text1"/>
          <w:lang w:val="de-DE"/>
        </w:rPr>
      </w:pPr>
      <w:r w:rsidRPr="7A26A6E9">
        <w:rPr>
          <w:rFonts w:ascii="Arial" w:eastAsia="Calibri" w:hAnsi="Arial" w:cs="Arial"/>
          <w:color w:val="000000" w:themeColor="text1"/>
          <w:lang w:val="de-DE"/>
        </w:rPr>
        <w:t xml:space="preserve">ADC </w:t>
      </w:r>
      <w:proofErr w:type="spellStart"/>
      <w:r w:rsidRPr="7A26A6E9">
        <w:rPr>
          <w:rFonts w:ascii="Arial" w:eastAsia="Calibri" w:hAnsi="Arial" w:cs="Arial"/>
          <w:color w:val="000000" w:themeColor="text1"/>
          <w:lang w:val="de-DE"/>
        </w:rPr>
        <w:t>Advanced</w:t>
      </w:r>
      <w:proofErr w:type="spellEnd"/>
      <w:r w:rsidRPr="7A26A6E9">
        <w:rPr>
          <w:rFonts w:ascii="Arial" w:eastAsia="Calibri" w:hAnsi="Arial" w:cs="Arial"/>
          <w:color w:val="000000" w:themeColor="text1"/>
          <w:lang w:val="de-DE"/>
        </w:rPr>
        <w:t xml:space="preserve"> (</w:t>
      </w:r>
      <w:proofErr w:type="spellStart"/>
      <w:r w:rsidRPr="7A26A6E9">
        <w:rPr>
          <w:rFonts w:ascii="Arial" w:eastAsia="Calibri" w:hAnsi="Arial" w:cs="Arial"/>
          <w:color w:val="000000" w:themeColor="text1"/>
          <w:lang w:val="de-DE"/>
        </w:rPr>
        <w:t>gunDrill</w:t>
      </w:r>
      <w:proofErr w:type="spellEnd"/>
      <w:r>
        <w:rPr>
          <w:rFonts w:ascii="Arial" w:eastAsia="Calibri" w:hAnsi="Arial" w:cs="Arial"/>
          <w:color w:val="000000" w:themeColor="text1"/>
          <w:lang w:val="de-DE"/>
        </w:rPr>
        <w:t>/Tieflochbohren</w:t>
      </w:r>
      <w:r w:rsidRPr="7A26A6E9">
        <w:rPr>
          <w:rFonts w:ascii="Arial" w:eastAsia="Calibri" w:hAnsi="Arial" w:cs="Arial"/>
          <w:color w:val="000000" w:themeColor="text1"/>
          <w:lang w:val="de-DE"/>
        </w:rPr>
        <w:t>)</w:t>
      </w:r>
      <w:r>
        <w:rPr>
          <w:rFonts w:ascii="Arial" w:eastAsia="Calibri" w:hAnsi="Arial" w:cs="Arial"/>
          <w:color w:val="000000" w:themeColor="text1"/>
          <w:lang w:val="de-DE"/>
        </w:rPr>
        <w:t>:</w:t>
      </w:r>
      <w:r w:rsidRPr="7A26A6E9">
        <w:rPr>
          <w:rFonts w:ascii="Arial" w:eastAsia="Calibri" w:hAnsi="Arial" w:cs="Arial"/>
          <w:color w:val="000000" w:themeColor="text1"/>
          <w:lang w:val="de-DE"/>
        </w:rPr>
        <w:t xml:space="preserve"> Zusätzliche Optionen für komplexe Anforderungen wie Querbohrungen</w:t>
      </w:r>
      <w:r>
        <w:rPr>
          <w:rFonts w:ascii="Arial" w:eastAsia="Calibri" w:hAnsi="Arial" w:cs="Arial"/>
          <w:color w:val="000000" w:themeColor="text1"/>
          <w:lang w:val="de-DE"/>
        </w:rPr>
        <w:t xml:space="preserve">, </w:t>
      </w:r>
      <w:r w:rsidRPr="7A26A6E9">
        <w:rPr>
          <w:rFonts w:ascii="Arial" w:eastAsia="Calibri" w:hAnsi="Arial" w:cs="Arial"/>
          <w:color w:val="000000" w:themeColor="text1"/>
          <w:lang w:val="de-DE"/>
        </w:rPr>
        <w:t xml:space="preserve">Versatz zum Pilotloch, </w:t>
      </w:r>
      <w:r>
        <w:rPr>
          <w:rFonts w:ascii="Arial" w:eastAsia="Calibri" w:hAnsi="Arial" w:cs="Arial"/>
          <w:color w:val="000000" w:themeColor="text1"/>
          <w:lang w:val="de-DE"/>
        </w:rPr>
        <w:t>a</w:t>
      </w:r>
      <w:r w:rsidRPr="7A26A6E9">
        <w:rPr>
          <w:rFonts w:ascii="Arial" w:eastAsia="Calibri" w:hAnsi="Arial" w:cs="Arial"/>
          <w:color w:val="000000" w:themeColor="text1"/>
          <w:lang w:val="de-DE"/>
        </w:rPr>
        <w:t>daptive Vorschubanpassung können hier dialoggeführt und einfach ergänzt werden</w:t>
      </w:r>
      <w:r>
        <w:rPr>
          <w:rFonts w:ascii="Arial" w:eastAsia="Calibri" w:hAnsi="Arial" w:cs="Arial"/>
          <w:color w:val="000000" w:themeColor="text1"/>
          <w:lang w:val="de-DE"/>
        </w:rPr>
        <w:t>.</w:t>
      </w:r>
    </w:p>
    <w:p w14:paraId="54CFA894" w14:textId="77777777" w:rsidR="00B42528" w:rsidRPr="00270FC7" w:rsidRDefault="00B42528" w:rsidP="00B42528">
      <w:pPr>
        <w:spacing w:before="240" w:after="120" w:line="288" w:lineRule="auto"/>
        <w:jc w:val="both"/>
        <w:rPr>
          <w:rFonts w:ascii="Arial" w:eastAsia="Calibri" w:hAnsi="Arial" w:cs="Arial"/>
          <w:color w:val="000000" w:themeColor="text1"/>
          <w:lang w:val="de-DE"/>
        </w:rPr>
      </w:pPr>
      <w:r w:rsidRPr="7A26A6E9">
        <w:rPr>
          <w:rFonts w:ascii="Arial" w:eastAsia="Calibri" w:hAnsi="Arial" w:cs="Arial"/>
          <w:color w:val="000000" w:themeColor="text1"/>
          <w:lang w:val="de-DE"/>
        </w:rPr>
        <w:t>ADC passt den Kühlmitteldruck und Durchfluss automatisch und ohne manuelle Eingriffe an Material, Werkzeug und Prozessphase an. Das Ergebnis sind stabile Durchflussverläufe</w:t>
      </w:r>
      <w:r>
        <w:rPr>
          <w:rFonts w:ascii="Arial" w:eastAsia="Calibri" w:hAnsi="Arial" w:cs="Arial"/>
          <w:color w:val="000000" w:themeColor="text1"/>
          <w:lang w:val="de-DE"/>
        </w:rPr>
        <w:t>,</w:t>
      </w:r>
      <w:r w:rsidRPr="7A26A6E9">
        <w:rPr>
          <w:rFonts w:ascii="Arial" w:eastAsia="Calibri" w:hAnsi="Arial" w:cs="Arial"/>
          <w:color w:val="000000" w:themeColor="text1"/>
          <w:lang w:val="de-DE"/>
        </w:rPr>
        <w:t xml:space="preserve"> die durch kontinuierliche Anpassung des Drucks auf </w:t>
      </w:r>
      <w:proofErr w:type="spellStart"/>
      <w:r w:rsidRPr="7A26A6E9">
        <w:rPr>
          <w:rFonts w:ascii="Arial" w:eastAsia="Calibri" w:hAnsi="Arial" w:cs="Arial"/>
          <w:color w:val="000000" w:themeColor="text1"/>
          <w:lang w:val="de-DE"/>
        </w:rPr>
        <w:t>Spänestau</w:t>
      </w:r>
      <w:proofErr w:type="spellEnd"/>
      <w:r w:rsidRPr="7A26A6E9">
        <w:rPr>
          <w:rFonts w:ascii="Arial" w:eastAsia="Calibri" w:hAnsi="Arial" w:cs="Arial"/>
          <w:color w:val="000000" w:themeColor="text1"/>
          <w:lang w:val="de-DE"/>
        </w:rPr>
        <w:t xml:space="preserve">, Querbohrungen und </w:t>
      </w:r>
      <w:r>
        <w:rPr>
          <w:rFonts w:ascii="Arial" w:eastAsia="Calibri" w:hAnsi="Arial" w:cs="Arial"/>
          <w:color w:val="000000" w:themeColor="text1"/>
          <w:lang w:val="de-DE"/>
        </w:rPr>
        <w:t>T</w:t>
      </w:r>
      <w:r w:rsidRPr="7A26A6E9">
        <w:rPr>
          <w:rFonts w:ascii="Arial" w:eastAsia="Calibri" w:hAnsi="Arial" w:cs="Arial"/>
          <w:color w:val="000000" w:themeColor="text1"/>
          <w:lang w:val="de-DE"/>
        </w:rPr>
        <w:t>iefe der Bohrung variiert werden</w:t>
      </w:r>
      <w:r>
        <w:rPr>
          <w:rFonts w:ascii="Arial" w:eastAsia="Calibri" w:hAnsi="Arial" w:cs="Arial"/>
          <w:color w:val="000000" w:themeColor="text1"/>
          <w:lang w:val="de-DE"/>
        </w:rPr>
        <w:t>.</w:t>
      </w:r>
      <w:r w:rsidRPr="7A26A6E9">
        <w:rPr>
          <w:rFonts w:ascii="Arial" w:eastAsia="Calibri" w:hAnsi="Arial" w:cs="Arial"/>
          <w:color w:val="000000" w:themeColor="text1"/>
          <w:lang w:val="de-DE"/>
        </w:rPr>
        <w:t xml:space="preserve"> Mit dieser Technologie sind </w:t>
      </w:r>
      <w:r>
        <w:rPr>
          <w:rFonts w:ascii="Arial" w:eastAsia="Calibri" w:hAnsi="Arial" w:cs="Arial"/>
          <w:color w:val="000000" w:themeColor="text1"/>
          <w:lang w:val="de-DE"/>
        </w:rPr>
        <w:t xml:space="preserve">eine </w:t>
      </w:r>
      <w:r w:rsidRPr="7A26A6E9">
        <w:rPr>
          <w:rFonts w:ascii="Arial" w:eastAsia="Calibri" w:hAnsi="Arial" w:cs="Arial"/>
          <w:color w:val="000000" w:themeColor="text1"/>
          <w:lang w:val="de-DE"/>
        </w:rPr>
        <w:t>erhöhte Prozesssicherheit</w:t>
      </w:r>
      <w:r>
        <w:rPr>
          <w:rFonts w:ascii="Arial" w:eastAsia="Calibri" w:hAnsi="Arial" w:cs="Arial"/>
          <w:color w:val="000000" w:themeColor="text1"/>
          <w:lang w:val="de-DE"/>
        </w:rPr>
        <w:t xml:space="preserve"> und</w:t>
      </w:r>
      <w:r w:rsidRPr="7A26A6E9">
        <w:rPr>
          <w:rFonts w:ascii="Arial" w:eastAsia="Calibri" w:hAnsi="Arial" w:cs="Arial"/>
          <w:color w:val="000000" w:themeColor="text1"/>
          <w:lang w:val="de-DE"/>
        </w:rPr>
        <w:t xml:space="preserve"> Qualität </w:t>
      </w:r>
      <w:r>
        <w:rPr>
          <w:rFonts w:ascii="Arial" w:eastAsia="Calibri" w:hAnsi="Arial" w:cs="Arial"/>
          <w:color w:val="000000" w:themeColor="text1"/>
          <w:lang w:val="de-DE"/>
        </w:rPr>
        <w:t>sowie eine um 30 Prozent höhere</w:t>
      </w:r>
      <w:r w:rsidRPr="7A26A6E9">
        <w:rPr>
          <w:rFonts w:ascii="Arial" w:eastAsia="Calibri" w:hAnsi="Arial" w:cs="Arial"/>
          <w:color w:val="000000" w:themeColor="text1"/>
          <w:lang w:val="de-DE"/>
        </w:rPr>
        <w:t xml:space="preserve"> Standzeit zu erreichen. Energieeinsparungen von </w:t>
      </w:r>
      <w:r>
        <w:rPr>
          <w:rFonts w:ascii="Arial" w:eastAsia="Calibri" w:hAnsi="Arial" w:cs="Arial"/>
          <w:color w:val="000000" w:themeColor="text1"/>
          <w:lang w:val="de-DE"/>
        </w:rPr>
        <w:t xml:space="preserve">ebenfalls </w:t>
      </w:r>
      <w:r w:rsidRPr="7A26A6E9">
        <w:rPr>
          <w:rFonts w:ascii="Arial" w:eastAsia="Calibri" w:hAnsi="Arial" w:cs="Arial"/>
          <w:color w:val="000000" w:themeColor="text1"/>
          <w:lang w:val="de-DE"/>
        </w:rPr>
        <w:t xml:space="preserve">bis zu 30 Prozent sind </w:t>
      </w:r>
      <w:r>
        <w:rPr>
          <w:rFonts w:ascii="Arial" w:eastAsia="Calibri" w:hAnsi="Arial" w:cs="Arial"/>
          <w:color w:val="000000" w:themeColor="text1"/>
          <w:lang w:val="de-DE"/>
        </w:rPr>
        <w:t xml:space="preserve">zusätzlich </w:t>
      </w:r>
      <w:r w:rsidRPr="7A26A6E9">
        <w:rPr>
          <w:rFonts w:ascii="Arial" w:eastAsia="Calibri" w:hAnsi="Arial" w:cs="Arial"/>
          <w:color w:val="000000" w:themeColor="text1"/>
          <w:lang w:val="de-DE"/>
        </w:rPr>
        <w:t>ein posit</w:t>
      </w:r>
      <w:r>
        <w:rPr>
          <w:rFonts w:ascii="Arial" w:eastAsia="Calibri" w:hAnsi="Arial" w:cs="Arial"/>
          <w:color w:val="000000" w:themeColor="text1"/>
          <w:lang w:val="de-DE"/>
        </w:rPr>
        <w:t>i</w:t>
      </w:r>
      <w:r w:rsidRPr="7A26A6E9">
        <w:rPr>
          <w:rFonts w:ascii="Arial" w:eastAsia="Calibri" w:hAnsi="Arial" w:cs="Arial"/>
          <w:color w:val="000000" w:themeColor="text1"/>
          <w:lang w:val="de-DE"/>
        </w:rPr>
        <w:t>ver Nebeneffekt</w:t>
      </w:r>
      <w:r>
        <w:rPr>
          <w:rFonts w:ascii="Arial" w:eastAsia="Calibri" w:hAnsi="Arial" w:cs="Arial"/>
          <w:color w:val="000000" w:themeColor="text1"/>
          <w:lang w:val="de-DE"/>
        </w:rPr>
        <w:t>, der die Ausstattung der Maschine mit speziellen Kühlschmierstoffen für Drücke bis über 80 Bar begünstigt. Auf diese Weise lässt sich ein komplexer</w:t>
      </w:r>
      <w:r w:rsidRPr="7A26A6E9">
        <w:rPr>
          <w:rFonts w:ascii="Arial" w:eastAsia="Calibri" w:hAnsi="Arial" w:cs="Arial"/>
          <w:color w:val="000000" w:themeColor="text1"/>
          <w:lang w:val="de-DE"/>
        </w:rPr>
        <w:t xml:space="preserve"> Prozess </w:t>
      </w:r>
      <w:r>
        <w:rPr>
          <w:rFonts w:ascii="Arial" w:eastAsia="Calibri" w:hAnsi="Arial" w:cs="Arial"/>
          <w:color w:val="000000" w:themeColor="text1"/>
          <w:lang w:val="de-DE"/>
        </w:rPr>
        <w:t>als Standardprozess gestalten.</w:t>
      </w:r>
    </w:p>
    <w:p w14:paraId="3D830E7B" w14:textId="77777777" w:rsidR="00B42528" w:rsidRPr="00270FC7" w:rsidRDefault="00B42528" w:rsidP="00B42528">
      <w:pPr>
        <w:spacing w:before="240" w:after="120" w:line="288" w:lineRule="auto"/>
        <w:jc w:val="both"/>
        <w:rPr>
          <w:rFonts w:ascii="Arial" w:eastAsia="Calibri" w:hAnsi="Arial" w:cs="Arial"/>
          <w:b/>
          <w:color w:val="000000" w:themeColor="text1"/>
          <w:lang w:val="de-DE"/>
        </w:rPr>
      </w:pPr>
      <w:r w:rsidRPr="00270FC7">
        <w:rPr>
          <w:rFonts w:ascii="Arial" w:eastAsia="Calibri" w:hAnsi="Arial" w:cs="Arial"/>
          <w:b/>
          <w:color w:val="000000" w:themeColor="text1"/>
          <w:lang w:val="de-DE"/>
        </w:rPr>
        <w:t>Technologie trifft auf Partnerkompetenz</w:t>
      </w:r>
    </w:p>
    <w:p w14:paraId="67CF60EB" w14:textId="7021DD00" w:rsidR="00B42528" w:rsidRPr="00270FC7" w:rsidRDefault="00B42528" w:rsidP="00B42528">
      <w:pPr>
        <w:spacing w:after="120" w:line="288" w:lineRule="auto"/>
        <w:jc w:val="both"/>
        <w:rPr>
          <w:rFonts w:ascii="Arial" w:eastAsia="Calibri" w:hAnsi="Arial" w:cs="Arial"/>
          <w:color w:val="000000" w:themeColor="text1"/>
          <w:lang w:val="de-DE"/>
        </w:rPr>
      </w:pPr>
      <w:r w:rsidRPr="7A26A6E9">
        <w:rPr>
          <w:rFonts w:ascii="Arial" w:eastAsia="Calibri" w:hAnsi="Arial" w:cs="Arial"/>
          <w:color w:val="000000" w:themeColor="text1"/>
          <w:lang w:val="de-DE"/>
        </w:rPr>
        <w:t xml:space="preserve">Der Technologiezyklus ADC entstand in enger Zusammenarbeit mit führenden Partnern im DMG MORI </w:t>
      </w:r>
      <w:proofErr w:type="spellStart"/>
      <w:r w:rsidRPr="7A26A6E9">
        <w:rPr>
          <w:rFonts w:ascii="Arial" w:eastAsia="Calibri" w:hAnsi="Arial" w:cs="Arial"/>
          <w:color w:val="000000" w:themeColor="text1"/>
          <w:lang w:val="de-DE"/>
        </w:rPr>
        <w:t>Qualified</w:t>
      </w:r>
      <w:proofErr w:type="spellEnd"/>
      <w:r w:rsidRPr="7A26A6E9">
        <w:rPr>
          <w:rFonts w:ascii="Arial" w:eastAsia="Calibri" w:hAnsi="Arial" w:cs="Arial"/>
          <w:color w:val="000000" w:themeColor="text1"/>
          <w:lang w:val="de-DE"/>
        </w:rPr>
        <w:t xml:space="preserve"> Products Netzwerk (DMQP), um im Zusammenspiel mit DMG MORI Maschinen beste Ergebnisse zu erreichen. Die </w:t>
      </w:r>
      <w:r>
        <w:rPr>
          <w:rFonts w:ascii="Arial" w:eastAsia="Calibri" w:hAnsi="Arial" w:cs="Arial"/>
          <w:color w:val="000000" w:themeColor="text1"/>
          <w:lang w:val="de-DE"/>
        </w:rPr>
        <w:t>Werkzeugs</w:t>
      </w:r>
      <w:r w:rsidRPr="7A26A6E9">
        <w:rPr>
          <w:rFonts w:ascii="Arial" w:eastAsia="Calibri" w:hAnsi="Arial" w:cs="Arial"/>
          <w:color w:val="000000" w:themeColor="text1"/>
          <w:lang w:val="de-DE"/>
        </w:rPr>
        <w:t xml:space="preserve">pezialisten </w:t>
      </w:r>
      <w:r w:rsidR="004263D1">
        <w:rPr>
          <w:rFonts w:ascii="Arial" w:eastAsia="Calibri" w:hAnsi="Arial" w:cs="Arial"/>
          <w:color w:val="000000" w:themeColor="text1"/>
          <w:lang w:val="de-DE"/>
        </w:rPr>
        <w:br/>
      </w:r>
      <w:proofErr w:type="spellStart"/>
      <w:r>
        <w:rPr>
          <w:rFonts w:ascii="Arial" w:eastAsia="Calibri" w:hAnsi="Arial" w:cs="Arial"/>
          <w:color w:val="000000" w:themeColor="text1"/>
          <w:lang w:val="de-DE"/>
        </w:rPr>
        <w:t>botek</w:t>
      </w:r>
      <w:proofErr w:type="spellEnd"/>
      <w:r>
        <w:rPr>
          <w:rFonts w:ascii="Arial" w:eastAsia="Calibri" w:hAnsi="Arial" w:cs="Arial"/>
          <w:color w:val="000000" w:themeColor="text1"/>
          <w:lang w:val="de-DE"/>
        </w:rPr>
        <w:t xml:space="preserve"> Präzisionsbohrtechnik</w:t>
      </w:r>
      <w:r w:rsidRPr="7A26A6E9">
        <w:rPr>
          <w:rFonts w:ascii="Arial" w:eastAsia="Calibri" w:hAnsi="Arial" w:cs="Arial"/>
          <w:color w:val="000000" w:themeColor="text1"/>
          <w:lang w:val="de-DE"/>
        </w:rPr>
        <w:t xml:space="preserve">, Gühring, </w:t>
      </w:r>
      <w:proofErr w:type="spellStart"/>
      <w:r w:rsidRPr="7A26A6E9">
        <w:rPr>
          <w:rFonts w:ascii="Arial" w:eastAsia="Calibri" w:hAnsi="Arial" w:cs="Arial"/>
          <w:color w:val="000000" w:themeColor="text1"/>
          <w:lang w:val="de-DE"/>
        </w:rPr>
        <w:t>Kennametal</w:t>
      </w:r>
      <w:proofErr w:type="spellEnd"/>
      <w:r w:rsidRPr="7A26A6E9">
        <w:rPr>
          <w:rFonts w:ascii="Arial" w:eastAsia="Calibri" w:hAnsi="Arial" w:cs="Arial"/>
          <w:color w:val="000000" w:themeColor="text1"/>
          <w:lang w:val="de-DE"/>
        </w:rPr>
        <w:t xml:space="preserve"> und Walter entwickelten dazu gemeinsam mit DMG MORI abgestimmte adaptive Prozessführung. FUCHS Schmierstoffe liefert </w:t>
      </w:r>
      <w:r w:rsidR="004263D1">
        <w:rPr>
          <w:rFonts w:ascii="Arial" w:eastAsia="Calibri" w:hAnsi="Arial" w:cs="Arial"/>
          <w:color w:val="000000" w:themeColor="text1"/>
          <w:lang w:val="de-DE"/>
        </w:rPr>
        <w:br/>
      </w:r>
      <w:r w:rsidRPr="7A26A6E9">
        <w:rPr>
          <w:rFonts w:ascii="Arial" w:eastAsia="Calibri" w:hAnsi="Arial" w:cs="Arial"/>
          <w:color w:val="000000" w:themeColor="text1"/>
          <w:lang w:val="de-DE"/>
        </w:rPr>
        <w:t>KSS-Formulierungen, die über einen breiten Druck- und Durchflussbereich stabile Eigenschaften gewährleisten. Die</w:t>
      </w:r>
      <w:r w:rsidR="004F05A5">
        <w:rPr>
          <w:rFonts w:ascii="Arial" w:eastAsia="Calibri" w:hAnsi="Arial" w:cs="Arial"/>
          <w:color w:val="000000" w:themeColor="text1"/>
          <w:lang w:val="de-DE"/>
        </w:rPr>
        <w:t>se</w:t>
      </w:r>
      <w:r w:rsidRPr="7A26A6E9">
        <w:rPr>
          <w:rFonts w:ascii="Arial" w:eastAsia="Calibri" w:hAnsi="Arial" w:cs="Arial"/>
          <w:color w:val="000000" w:themeColor="text1"/>
          <w:lang w:val="de-DE"/>
        </w:rPr>
        <w:t xml:space="preserve"> Partnerschaft macht ADC erst zur vollständigen Lösung. </w:t>
      </w:r>
    </w:p>
    <w:p w14:paraId="19C60837" w14:textId="77777777" w:rsidR="00B42528" w:rsidRPr="00270FC7" w:rsidRDefault="00B42528" w:rsidP="00B42528">
      <w:pPr>
        <w:spacing w:before="240" w:after="120" w:line="288" w:lineRule="auto"/>
        <w:jc w:val="both"/>
        <w:rPr>
          <w:rFonts w:ascii="Arial" w:eastAsia="Calibri" w:hAnsi="Arial" w:cs="Arial"/>
          <w:b/>
          <w:color w:val="000000" w:themeColor="text1"/>
          <w:lang w:val="de-DE"/>
        </w:rPr>
      </w:pPr>
      <w:r w:rsidRPr="00270FC7">
        <w:rPr>
          <w:rFonts w:ascii="Arial" w:eastAsia="Calibri" w:hAnsi="Arial" w:cs="Arial"/>
          <w:b/>
          <w:color w:val="000000" w:themeColor="text1"/>
          <w:lang w:val="de-DE"/>
        </w:rPr>
        <w:t>Wirtschaftlichkeit und Auditfähigkeit</w:t>
      </w:r>
    </w:p>
    <w:p w14:paraId="5D35EE96" w14:textId="2F1AC3E2" w:rsidR="00B42528" w:rsidRDefault="00B42528" w:rsidP="00B42528">
      <w:pPr>
        <w:spacing w:after="120" w:line="288" w:lineRule="auto"/>
        <w:jc w:val="both"/>
        <w:rPr>
          <w:rFonts w:ascii="Arial" w:eastAsia="Calibri" w:hAnsi="Arial" w:cs="Arial"/>
          <w:color w:val="000000" w:themeColor="text1"/>
          <w:lang w:val="de-DE"/>
        </w:rPr>
      </w:pPr>
      <w:r w:rsidRPr="006221EE">
        <w:rPr>
          <w:rFonts w:ascii="Arial" w:eastAsia="Calibri" w:hAnsi="Arial" w:cs="Arial"/>
          <w:color w:val="000000" w:themeColor="text1"/>
          <w:lang w:val="de-DE"/>
        </w:rPr>
        <w:t>ADC adressiert die Kostentreiber des Tieflochbohrens in zwei Dimensionen: Mit geregelter Spanabfuhr, reduzierten Lastspitzen und definierter Reaktionslogik sinkt die Wahrscheinlichkeit für Werkzeugbruch und Ausschuss massiv. Gleichzeitig reduziert die adaptive Kühlmittelversorgung den Energieverbrauch und verlängert Werkzeugstandzeiten durch stabilere Temperaturführung. Ein weiterer wichtiger Aspekt ist die Verbesserung der Qualität</w:t>
      </w:r>
      <w:r>
        <w:rPr>
          <w:rFonts w:ascii="Arial" w:eastAsia="Calibri" w:hAnsi="Arial" w:cs="Arial"/>
          <w:color w:val="000000" w:themeColor="text1"/>
          <w:lang w:val="de-DE"/>
        </w:rPr>
        <w:t>,</w:t>
      </w:r>
      <w:r w:rsidRPr="006221EE">
        <w:rPr>
          <w:rFonts w:ascii="Arial" w:eastAsia="Calibri" w:hAnsi="Arial" w:cs="Arial"/>
          <w:color w:val="000000" w:themeColor="text1"/>
          <w:lang w:val="de-DE"/>
        </w:rPr>
        <w:t xml:space="preserve"> wie Verlauf der Bohrung oder Oberfläche, die ebenfalls Ausschuss bedeuten können. </w:t>
      </w:r>
      <w:r w:rsidRPr="006221EE">
        <w:rPr>
          <w:rFonts w:ascii="Arial" w:eastAsia="Calibri" w:hAnsi="Arial" w:cs="Arial"/>
          <w:color w:val="000000" w:themeColor="text1"/>
          <w:lang w:val="de-DE"/>
        </w:rPr>
        <w:lastRenderedPageBreak/>
        <w:t xml:space="preserve">Alle Prozessdaten werden automatisch aufgezeichnet und stehen für Monitoring, Qualitätsdokumentation und Integration in CELOS X sowie Fabrik-IT-Systeme zur Verfügung. Branchen mit hoher Nachweispflicht – Aerospace, Medizintechnik, Automotive – profitieren </w:t>
      </w:r>
      <w:r w:rsidR="00A52BC7">
        <w:rPr>
          <w:rFonts w:ascii="Arial" w:eastAsia="Calibri" w:hAnsi="Arial" w:cs="Arial"/>
          <w:color w:val="000000" w:themeColor="text1"/>
          <w:lang w:val="de-DE"/>
        </w:rPr>
        <w:t>dadurch</w:t>
      </w:r>
      <w:r w:rsidR="00A52BC7" w:rsidRPr="006221EE">
        <w:rPr>
          <w:rFonts w:ascii="Arial" w:eastAsia="Calibri" w:hAnsi="Arial" w:cs="Arial"/>
          <w:color w:val="000000" w:themeColor="text1"/>
          <w:lang w:val="de-DE"/>
        </w:rPr>
        <w:t xml:space="preserve"> </w:t>
      </w:r>
      <w:r w:rsidRPr="006221EE">
        <w:rPr>
          <w:rFonts w:ascii="Arial" w:eastAsia="Calibri" w:hAnsi="Arial" w:cs="Arial"/>
          <w:color w:val="000000" w:themeColor="text1"/>
          <w:lang w:val="de-DE"/>
        </w:rPr>
        <w:t>von standardisierten Zyklen und einer vollständigen Prozesshistorie pro Bohrung.</w:t>
      </w:r>
    </w:p>
    <w:p w14:paraId="790ECAB4" w14:textId="77777777" w:rsidR="00B42528" w:rsidRPr="006221EE" w:rsidRDefault="00B42528" w:rsidP="00B42528">
      <w:pPr>
        <w:spacing w:after="120" w:line="288" w:lineRule="auto"/>
        <w:jc w:val="both"/>
        <w:rPr>
          <w:rFonts w:ascii="Arial" w:eastAsia="Calibri" w:hAnsi="Arial" w:cs="Arial"/>
          <w:color w:val="000000" w:themeColor="text1"/>
          <w:lang w:val="de-DE"/>
        </w:rPr>
      </w:pPr>
    </w:p>
    <w:p w14:paraId="47834FE7" w14:textId="77777777" w:rsidR="00B42528" w:rsidRPr="00270FC7" w:rsidRDefault="00B42528" w:rsidP="00B42528">
      <w:pPr>
        <w:spacing w:before="240" w:after="120" w:line="288" w:lineRule="auto"/>
        <w:jc w:val="both"/>
        <w:rPr>
          <w:rFonts w:ascii="Arial" w:eastAsia="Calibri" w:hAnsi="Arial" w:cs="Arial"/>
          <w:b/>
          <w:color w:val="000000" w:themeColor="text1"/>
          <w:lang w:val="de-DE"/>
        </w:rPr>
      </w:pPr>
      <w:r w:rsidRPr="00270FC7">
        <w:rPr>
          <w:rFonts w:ascii="Arial" w:eastAsia="Calibri" w:hAnsi="Arial" w:cs="Arial"/>
          <w:b/>
          <w:color w:val="000000" w:themeColor="text1"/>
          <w:lang w:val="de-DE"/>
        </w:rPr>
        <w:t xml:space="preserve">Verfügbarkeit und </w:t>
      </w:r>
      <w:proofErr w:type="spellStart"/>
      <w:r w:rsidRPr="00270FC7">
        <w:rPr>
          <w:rFonts w:ascii="Arial" w:eastAsia="Calibri" w:hAnsi="Arial" w:cs="Arial"/>
          <w:b/>
          <w:color w:val="000000" w:themeColor="text1"/>
          <w:lang w:val="de-DE"/>
        </w:rPr>
        <w:t>Machining</w:t>
      </w:r>
      <w:proofErr w:type="spellEnd"/>
      <w:r w:rsidRPr="00270FC7">
        <w:rPr>
          <w:rFonts w:ascii="Arial" w:eastAsia="Calibri" w:hAnsi="Arial" w:cs="Arial"/>
          <w:b/>
          <w:color w:val="000000" w:themeColor="text1"/>
          <w:lang w:val="de-DE"/>
        </w:rPr>
        <w:t xml:space="preserve"> Transformation</w:t>
      </w:r>
      <w:r>
        <w:rPr>
          <w:rFonts w:ascii="Arial" w:eastAsia="Calibri" w:hAnsi="Arial" w:cs="Arial"/>
          <w:b/>
          <w:color w:val="000000" w:themeColor="text1"/>
          <w:lang w:val="de-DE"/>
        </w:rPr>
        <w:t xml:space="preserve"> (MX)</w:t>
      </w:r>
    </w:p>
    <w:p w14:paraId="426F6247" w14:textId="6AA16039" w:rsidR="00187339" w:rsidRPr="00187339" w:rsidRDefault="00B42528" w:rsidP="00187339">
      <w:pPr>
        <w:spacing w:after="120" w:line="288" w:lineRule="auto"/>
        <w:jc w:val="both"/>
        <w:rPr>
          <w:rFonts w:ascii="Arial" w:eastAsia="Calibri" w:hAnsi="Arial" w:cs="Arial"/>
          <w:bCs/>
          <w:color w:val="000000" w:themeColor="text1"/>
          <w:lang w:val="de-DE"/>
        </w:rPr>
      </w:pPr>
      <w:r w:rsidRPr="00270FC7">
        <w:rPr>
          <w:rFonts w:ascii="Arial" w:eastAsia="Calibri" w:hAnsi="Arial" w:cs="Arial"/>
          <w:bCs/>
          <w:color w:val="000000" w:themeColor="text1"/>
          <w:lang w:val="de-DE"/>
        </w:rPr>
        <w:t xml:space="preserve">Zum Start steht ADC auf den Baureihen </w:t>
      </w:r>
      <w:proofErr w:type="spellStart"/>
      <w:r w:rsidRPr="00270FC7">
        <w:rPr>
          <w:rFonts w:ascii="Arial" w:eastAsia="Calibri" w:hAnsi="Arial" w:cs="Arial"/>
          <w:bCs/>
          <w:color w:val="000000" w:themeColor="text1"/>
          <w:lang w:val="de-DE"/>
        </w:rPr>
        <w:t>monoBLOCK</w:t>
      </w:r>
      <w:proofErr w:type="spellEnd"/>
      <w:r w:rsidRPr="00270FC7">
        <w:rPr>
          <w:rFonts w:ascii="Arial" w:eastAsia="Calibri" w:hAnsi="Arial" w:cs="Arial"/>
          <w:bCs/>
          <w:color w:val="000000" w:themeColor="text1"/>
          <w:lang w:val="de-DE"/>
        </w:rPr>
        <w:t xml:space="preserve">, </w:t>
      </w:r>
      <w:proofErr w:type="spellStart"/>
      <w:r w:rsidRPr="00270FC7">
        <w:rPr>
          <w:rFonts w:ascii="Arial" w:eastAsia="Calibri" w:hAnsi="Arial" w:cs="Arial"/>
          <w:bCs/>
          <w:color w:val="000000" w:themeColor="text1"/>
          <w:lang w:val="de-DE"/>
        </w:rPr>
        <w:t>duoBLOCK</w:t>
      </w:r>
      <w:proofErr w:type="spellEnd"/>
      <w:r w:rsidRPr="00270FC7">
        <w:rPr>
          <w:rFonts w:ascii="Arial" w:eastAsia="Calibri" w:hAnsi="Arial" w:cs="Arial"/>
          <w:bCs/>
          <w:color w:val="000000" w:themeColor="text1"/>
          <w:lang w:val="de-DE"/>
        </w:rPr>
        <w:t xml:space="preserve">, DMC H </w:t>
      </w:r>
      <w:proofErr w:type="spellStart"/>
      <w:r w:rsidRPr="00270FC7">
        <w:rPr>
          <w:rFonts w:ascii="Arial" w:eastAsia="Calibri" w:hAnsi="Arial" w:cs="Arial"/>
          <w:bCs/>
          <w:color w:val="000000" w:themeColor="text1"/>
          <w:lang w:val="de-DE"/>
        </w:rPr>
        <w:t>monoBLOCK</w:t>
      </w:r>
      <w:proofErr w:type="spellEnd"/>
      <w:r w:rsidRPr="00270FC7">
        <w:rPr>
          <w:rFonts w:ascii="Arial" w:eastAsia="Calibri" w:hAnsi="Arial" w:cs="Arial"/>
          <w:bCs/>
          <w:color w:val="000000" w:themeColor="text1"/>
          <w:lang w:val="de-DE"/>
        </w:rPr>
        <w:t>, DMC 55 H TWIN sowie Portal- und Gantry</w:t>
      </w:r>
      <w:r>
        <w:rPr>
          <w:rFonts w:ascii="Arial" w:eastAsia="Calibri" w:hAnsi="Arial" w:cs="Arial"/>
          <w:bCs/>
          <w:color w:val="000000" w:themeColor="text1"/>
          <w:lang w:val="de-DE"/>
        </w:rPr>
        <w:t>-M</w:t>
      </w:r>
      <w:r w:rsidRPr="00270FC7">
        <w:rPr>
          <w:rFonts w:ascii="Arial" w:eastAsia="Calibri" w:hAnsi="Arial" w:cs="Arial"/>
          <w:bCs/>
          <w:color w:val="000000" w:themeColor="text1"/>
          <w:lang w:val="de-DE"/>
        </w:rPr>
        <w:t xml:space="preserve">aschinen zur Verfügung. Unterstützt werden </w:t>
      </w:r>
      <w:r w:rsidR="0014791F">
        <w:rPr>
          <w:rFonts w:ascii="Arial" w:eastAsia="Calibri" w:hAnsi="Arial" w:cs="Arial"/>
          <w:bCs/>
          <w:color w:val="000000" w:themeColor="text1"/>
          <w:lang w:val="de-DE"/>
        </w:rPr>
        <w:t>Siemens</w:t>
      </w:r>
      <w:r w:rsidRPr="00270FC7">
        <w:rPr>
          <w:rFonts w:ascii="Arial" w:eastAsia="Calibri" w:hAnsi="Arial" w:cs="Arial"/>
          <w:bCs/>
          <w:color w:val="000000" w:themeColor="text1"/>
          <w:lang w:val="de-DE"/>
        </w:rPr>
        <w:t>- und HEIDENHAIN-Steuerungen.</w:t>
      </w:r>
      <w:r>
        <w:rPr>
          <w:rFonts w:ascii="Arial" w:eastAsia="Calibri" w:hAnsi="Arial" w:cs="Arial"/>
          <w:bCs/>
          <w:color w:val="000000" w:themeColor="text1"/>
          <w:lang w:val="de-DE"/>
        </w:rPr>
        <w:t xml:space="preserve"> DMG MORI sieht ADC als strategischen</w:t>
      </w:r>
      <w:r w:rsidRPr="00270FC7">
        <w:rPr>
          <w:rFonts w:ascii="Arial" w:eastAsia="Calibri" w:hAnsi="Arial" w:cs="Arial"/>
          <w:bCs/>
          <w:color w:val="000000" w:themeColor="text1"/>
          <w:lang w:val="de-DE"/>
        </w:rPr>
        <w:t xml:space="preserve"> Baustein der </w:t>
      </w:r>
      <w:proofErr w:type="spellStart"/>
      <w:r w:rsidRPr="00270FC7">
        <w:rPr>
          <w:rFonts w:ascii="Arial" w:eastAsia="Calibri" w:hAnsi="Arial" w:cs="Arial"/>
          <w:bCs/>
          <w:color w:val="000000" w:themeColor="text1"/>
          <w:lang w:val="de-DE"/>
        </w:rPr>
        <w:t>Machining</w:t>
      </w:r>
      <w:proofErr w:type="spellEnd"/>
      <w:r w:rsidRPr="00270FC7">
        <w:rPr>
          <w:rFonts w:ascii="Arial" w:eastAsia="Calibri" w:hAnsi="Arial" w:cs="Arial"/>
          <w:bCs/>
          <w:color w:val="000000" w:themeColor="text1"/>
          <w:lang w:val="de-DE"/>
        </w:rPr>
        <w:t xml:space="preserve"> Transformation (MX</w:t>
      </w:r>
      <w:r>
        <w:rPr>
          <w:rFonts w:ascii="Arial" w:eastAsia="Calibri" w:hAnsi="Arial" w:cs="Arial"/>
          <w:bCs/>
          <w:color w:val="000000" w:themeColor="text1"/>
          <w:lang w:val="de-DE"/>
        </w:rPr>
        <w:t>)</w:t>
      </w:r>
      <w:r w:rsidRPr="00270FC7">
        <w:rPr>
          <w:rFonts w:ascii="Arial" w:eastAsia="Calibri" w:hAnsi="Arial" w:cs="Arial"/>
          <w:bCs/>
          <w:color w:val="000000" w:themeColor="text1"/>
          <w:lang w:val="de-DE"/>
        </w:rPr>
        <w:t xml:space="preserve">. Sensorik, Regelung, Software und Partnerökosystem werden </w:t>
      </w:r>
      <w:proofErr w:type="spellStart"/>
      <w:r w:rsidR="00187339" w:rsidRPr="00187339">
        <w:rPr>
          <w:rFonts w:ascii="Arial" w:eastAsia="Calibri" w:hAnsi="Arial" w:cs="Arial"/>
          <w:bCs/>
          <w:color w:val="000000" w:themeColor="text1"/>
          <w:lang w:val="de-DE"/>
        </w:rPr>
        <w:t>werden</w:t>
      </w:r>
      <w:proofErr w:type="spellEnd"/>
      <w:r w:rsidR="00187339" w:rsidRPr="00187339">
        <w:rPr>
          <w:rFonts w:ascii="Arial" w:eastAsia="Calibri" w:hAnsi="Arial" w:cs="Arial"/>
          <w:bCs/>
          <w:color w:val="000000" w:themeColor="text1"/>
          <w:lang w:val="de-DE"/>
        </w:rPr>
        <w:t xml:space="preserve"> intelligent gebündelt, um anspruchsvolle Bauteile effizienter zu bearbeiten.</w:t>
      </w:r>
    </w:p>
    <w:p w14:paraId="139D3C25" w14:textId="5E9388A8" w:rsidR="00B42528" w:rsidRPr="00270FC7" w:rsidRDefault="00B42528" w:rsidP="00B42528">
      <w:pPr>
        <w:spacing w:after="120" w:line="288" w:lineRule="auto"/>
        <w:jc w:val="both"/>
        <w:rPr>
          <w:rFonts w:ascii="Arial" w:eastAsia="Calibri" w:hAnsi="Arial" w:cs="Arial"/>
          <w:bCs/>
          <w:color w:val="000000" w:themeColor="text1"/>
          <w:lang w:val="de-DE"/>
        </w:rPr>
      </w:pPr>
    </w:p>
    <w:p w14:paraId="12190826" w14:textId="77777777" w:rsidR="00B42528" w:rsidRPr="00270FC7" w:rsidRDefault="00B42528" w:rsidP="00B42528">
      <w:pPr>
        <w:spacing w:after="120" w:line="288" w:lineRule="auto"/>
        <w:jc w:val="both"/>
        <w:rPr>
          <w:rFonts w:ascii="Arial" w:eastAsia="Calibri" w:hAnsi="Arial" w:cs="Arial"/>
          <w:bCs/>
          <w:color w:val="000000" w:themeColor="text1"/>
          <w:lang w:val="de-DE"/>
        </w:rPr>
      </w:pPr>
    </w:p>
    <w:p w14:paraId="655A4FD3" w14:textId="77777777" w:rsidR="00B42528" w:rsidRDefault="00B42528" w:rsidP="00B42528">
      <w:pPr>
        <w:spacing w:after="120" w:line="288" w:lineRule="auto"/>
        <w:jc w:val="both"/>
        <w:rPr>
          <w:rFonts w:ascii="Arial" w:eastAsia="MS Mincho" w:hAnsi="Arial" w:cs="Arial"/>
          <w:b/>
          <w:color w:val="000000" w:themeColor="text1"/>
          <w:sz w:val="16"/>
          <w:szCs w:val="18"/>
        </w:rPr>
      </w:pPr>
      <w:r w:rsidRPr="0040118C">
        <w:rPr>
          <w:rFonts w:ascii="Arial" w:eastAsia="MS Mincho" w:hAnsi="Arial" w:cs="Arial"/>
          <w:b/>
          <w:noProof/>
          <w:color w:val="000000" w:themeColor="text1"/>
          <w:sz w:val="16"/>
          <w:szCs w:val="18"/>
        </w:rPr>
        <w:drawing>
          <wp:inline distT="0" distB="0" distL="0" distR="0" wp14:anchorId="5FCBA4E6" wp14:editId="2281F907">
            <wp:extent cx="4810540" cy="3608966"/>
            <wp:effectExtent l="0" t="0" r="9525" b="0"/>
            <wp:docPr id="463878899" name="Grafik 1" descr="Ein Bild, das Tür, Blau, Fenster,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78899" name="Grafik 1" descr="Ein Bild, das Tür, Blau, Fenster, Im Haus enthält.&#10;&#10;KI-generierte Inhalte können fehlerhaft sein."/>
                    <pic:cNvPicPr/>
                  </pic:nvPicPr>
                  <pic:blipFill>
                    <a:blip r:embed="rId10"/>
                    <a:stretch>
                      <a:fillRect/>
                    </a:stretch>
                  </pic:blipFill>
                  <pic:spPr>
                    <a:xfrm>
                      <a:off x="0" y="0"/>
                      <a:ext cx="4823398" cy="3618612"/>
                    </a:xfrm>
                    <a:prstGeom prst="rect">
                      <a:avLst/>
                    </a:prstGeom>
                  </pic:spPr>
                </pic:pic>
              </a:graphicData>
            </a:graphic>
          </wp:inline>
        </w:drawing>
      </w:r>
    </w:p>
    <w:p w14:paraId="54B5506E" w14:textId="77777777" w:rsidR="00B42528" w:rsidRPr="001906A8" w:rsidRDefault="00B42528" w:rsidP="00B42528">
      <w:pPr>
        <w:autoSpaceDE w:val="0"/>
        <w:autoSpaceDN w:val="0"/>
        <w:adjustRightInd w:val="0"/>
        <w:spacing w:after="40" w:line="288" w:lineRule="auto"/>
        <w:ind w:right="1835"/>
        <w:rPr>
          <w:rFonts w:ascii="Arial" w:eastAsia="MS Mincho" w:hAnsi="Arial" w:cs="Arial"/>
          <w:b/>
          <w:color w:val="000000" w:themeColor="text1"/>
          <w:sz w:val="16"/>
          <w:szCs w:val="18"/>
          <w:lang w:val="de-DE"/>
        </w:rPr>
      </w:pPr>
      <w:r w:rsidRPr="000C4E55">
        <w:rPr>
          <w:rFonts w:ascii="Arial" w:eastAsia="MS Mincho" w:hAnsi="Arial" w:cs="Arial"/>
          <w:color w:val="000000" w:themeColor="text1"/>
          <w:sz w:val="16"/>
          <w:szCs w:val="18"/>
          <w:lang w:val="de-DE"/>
        </w:rPr>
        <w:t xml:space="preserve">Adaptive Drilling Control (ADC) macht aus dem bislang auf Erfahrung basierenden Tieflochbohren einen aktiv geregelten und überwachten Bohrprozess. </w:t>
      </w:r>
    </w:p>
    <w:p w14:paraId="4AE8C1CC" w14:textId="4ADB72B0" w:rsidR="005E4215" w:rsidRDefault="005E4215">
      <w:pPr>
        <w:rPr>
          <w:rFonts w:ascii="Arial" w:eastAsia="MS Mincho" w:hAnsi="Arial" w:cs="Arial"/>
          <w:b/>
          <w:color w:val="000000" w:themeColor="text1"/>
          <w:sz w:val="16"/>
          <w:szCs w:val="18"/>
          <w:lang w:val="de-DE"/>
        </w:rPr>
      </w:pPr>
      <w:r>
        <w:rPr>
          <w:rFonts w:ascii="Arial" w:eastAsia="MS Mincho" w:hAnsi="Arial" w:cs="Arial"/>
          <w:b/>
          <w:color w:val="000000" w:themeColor="text1"/>
          <w:sz w:val="16"/>
          <w:szCs w:val="18"/>
          <w:lang w:val="de-DE"/>
        </w:rPr>
        <w:br w:type="page"/>
      </w:r>
    </w:p>
    <w:p w14:paraId="01EED7E0" w14:textId="3132C786" w:rsidR="001906A8" w:rsidRPr="001906A8" w:rsidRDefault="00CF38E9" w:rsidP="001906A8">
      <w:pPr>
        <w:autoSpaceDE w:val="0"/>
        <w:autoSpaceDN w:val="0"/>
        <w:adjustRightInd w:val="0"/>
        <w:spacing w:after="40" w:line="269" w:lineRule="auto"/>
        <w:ind w:right="1977"/>
        <w:jc w:val="both"/>
        <w:rPr>
          <w:rFonts w:ascii="Arial" w:eastAsia="MS Mincho" w:hAnsi="Arial" w:cs="Arial"/>
          <w:b/>
          <w:sz w:val="16"/>
          <w:szCs w:val="18"/>
          <w:lang w:val="de-DE"/>
        </w:rPr>
      </w:pPr>
      <w:r>
        <w:rPr>
          <w:rFonts w:ascii="Arial" w:eastAsia="MS Mincho" w:hAnsi="Arial" w:cs="Arial"/>
          <w:b/>
          <w:sz w:val="16"/>
          <w:szCs w:val="18"/>
          <w:lang w:val="de-DE"/>
        </w:rPr>
        <w:lastRenderedPageBreak/>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6AEC2605" w14:textId="49EE1E9C" w:rsidR="00AC23D7" w:rsidRPr="0004410D" w:rsidRDefault="00AC23D7" w:rsidP="00AC23D7">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44BD1143" w14:textId="77777777" w:rsidR="001906A8" w:rsidRPr="002B2BF8" w:rsidRDefault="001906A8" w:rsidP="001906A8">
      <w:pPr>
        <w:tabs>
          <w:tab w:val="left" w:pos="2403"/>
        </w:tabs>
      </w:pPr>
    </w:p>
    <w:sectPr w:rsidR="001906A8" w:rsidRPr="002B2BF8"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22F558" w14:textId="77777777" w:rsidR="00F300EE" w:rsidRDefault="00F300EE" w:rsidP="003F4354">
      <w:pPr>
        <w:spacing w:after="0" w:line="240" w:lineRule="auto"/>
      </w:pPr>
      <w:r>
        <w:separator/>
      </w:r>
    </w:p>
  </w:endnote>
  <w:endnote w:type="continuationSeparator" w:id="0">
    <w:p w14:paraId="300A8DC1" w14:textId="77777777" w:rsidR="00F300EE" w:rsidRDefault="00F300EE"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200247B" w:usb2="00000009" w:usb3="00000000" w:csb0="000001F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FE2EDAC"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ACF88E" w14:textId="77777777" w:rsidR="00F300EE" w:rsidRDefault="00F300EE" w:rsidP="003F4354">
      <w:pPr>
        <w:spacing w:after="0" w:line="240" w:lineRule="auto"/>
      </w:pPr>
      <w:r>
        <w:separator/>
      </w:r>
    </w:p>
  </w:footnote>
  <w:footnote w:type="continuationSeparator" w:id="0">
    <w:p w14:paraId="07B73792" w14:textId="77777777" w:rsidR="00F300EE" w:rsidRDefault="00F300EE"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1" w:name="_Hlk141089219"/>
    <w:bookmarkStart w:id="2"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1"/>
    <w:bookmarkEnd w:id="2"/>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5FCD38"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F72"/>
    <w:rsid w:val="0004559C"/>
    <w:rsid w:val="00052967"/>
    <w:rsid w:val="000608E2"/>
    <w:rsid w:val="00062567"/>
    <w:rsid w:val="00064451"/>
    <w:rsid w:val="00070AC0"/>
    <w:rsid w:val="0007588D"/>
    <w:rsid w:val="0007742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0F32"/>
    <w:rsid w:val="00123890"/>
    <w:rsid w:val="00126272"/>
    <w:rsid w:val="00130925"/>
    <w:rsid w:val="00130951"/>
    <w:rsid w:val="00130DBB"/>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50F4"/>
    <w:rsid w:val="001D607A"/>
    <w:rsid w:val="001E5153"/>
    <w:rsid w:val="001E6939"/>
    <w:rsid w:val="001F0331"/>
    <w:rsid w:val="001F728B"/>
    <w:rsid w:val="001F7C03"/>
    <w:rsid w:val="002020A2"/>
    <w:rsid w:val="00205087"/>
    <w:rsid w:val="0022312D"/>
    <w:rsid w:val="00223D69"/>
    <w:rsid w:val="00224FF5"/>
    <w:rsid w:val="00233649"/>
    <w:rsid w:val="00234722"/>
    <w:rsid w:val="002361B9"/>
    <w:rsid w:val="00236B8A"/>
    <w:rsid w:val="00237194"/>
    <w:rsid w:val="00256B3C"/>
    <w:rsid w:val="0027447A"/>
    <w:rsid w:val="00286B74"/>
    <w:rsid w:val="00287817"/>
    <w:rsid w:val="002A21A4"/>
    <w:rsid w:val="002A2C78"/>
    <w:rsid w:val="002A5412"/>
    <w:rsid w:val="002B2BF8"/>
    <w:rsid w:val="002B6B1C"/>
    <w:rsid w:val="002C2245"/>
    <w:rsid w:val="002C5E8B"/>
    <w:rsid w:val="002D021D"/>
    <w:rsid w:val="002D2B20"/>
    <w:rsid w:val="002D65B1"/>
    <w:rsid w:val="002E15B3"/>
    <w:rsid w:val="002E498A"/>
    <w:rsid w:val="002F28F8"/>
    <w:rsid w:val="002F29D6"/>
    <w:rsid w:val="002F7B27"/>
    <w:rsid w:val="0030564A"/>
    <w:rsid w:val="00305DD1"/>
    <w:rsid w:val="003130E0"/>
    <w:rsid w:val="00314BD4"/>
    <w:rsid w:val="003161C5"/>
    <w:rsid w:val="0031754B"/>
    <w:rsid w:val="00327169"/>
    <w:rsid w:val="00336375"/>
    <w:rsid w:val="00337C81"/>
    <w:rsid w:val="00341223"/>
    <w:rsid w:val="0036022D"/>
    <w:rsid w:val="00360D95"/>
    <w:rsid w:val="00361C8E"/>
    <w:rsid w:val="003638F1"/>
    <w:rsid w:val="00363EA0"/>
    <w:rsid w:val="0036588C"/>
    <w:rsid w:val="00366AD2"/>
    <w:rsid w:val="00376877"/>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4E99"/>
    <w:rsid w:val="00475722"/>
    <w:rsid w:val="00476D17"/>
    <w:rsid w:val="0047725A"/>
    <w:rsid w:val="0048230D"/>
    <w:rsid w:val="004836A6"/>
    <w:rsid w:val="00483F4D"/>
    <w:rsid w:val="00486B7F"/>
    <w:rsid w:val="00497729"/>
    <w:rsid w:val="004A4F9E"/>
    <w:rsid w:val="004A716A"/>
    <w:rsid w:val="004A7C30"/>
    <w:rsid w:val="004B34A4"/>
    <w:rsid w:val="004B54C1"/>
    <w:rsid w:val="004C06E8"/>
    <w:rsid w:val="004D575D"/>
    <w:rsid w:val="004E26A3"/>
    <w:rsid w:val="004E354E"/>
    <w:rsid w:val="004F05A5"/>
    <w:rsid w:val="004F4CDE"/>
    <w:rsid w:val="004F5BF2"/>
    <w:rsid w:val="00515E24"/>
    <w:rsid w:val="00520F63"/>
    <w:rsid w:val="005415D3"/>
    <w:rsid w:val="00546698"/>
    <w:rsid w:val="00547EC9"/>
    <w:rsid w:val="005517F7"/>
    <w:rsid w:val="0055268F"/>
    <w:rsid w:val="005557A1"/>
    <w:rsid w:val="00555C0B"/>
    <w:rsid w:val="0056079F"/>
    <w:rsid w:val="00560FA3"/>
    <w:rsid w:val="00565153"/>
    <w:rsid w:val="005717A9"/>
    <w:rsid w:val="00571C8A"/>
    <w:rsid w:val="00582C26"/>
    <w:rsid w:val="00582D60"/>
    <w:rsid w:val="00584408"/>
    <w:rsid w:val="00590405"/>
    <w:rsid w:val="005958B8"/>
    <w:rsid w:val="005A1F4E"/>
    <w:rsid w:val="005A2D0A"/>
    <w:rsid w:val="005A572D"/>
    <w:rsid w:val="005B0513"/>
    <w:rsid w:val="005C195B"/>
    <w:rsid w:val="005D0FC9"/>
    <w:rsid w:val="005D21D0"/>
    <w:rsid w:val="005E3136"/>
    <w:rsid w:val="005E4215"/>
    <w:rsid w:val="005E5E99"/>
    <w:rsid w:val="005F17E1"/>
    <w:rsid w:val="005F4461"/>
    <w:rsid w:val="00600CE3"/>
    <w:rsid w:val="00604A90"/>
    <w:rsid w:val="0060732E"/>
    <w:rsid w:val="00611A27"/>
    <w:rsid w:val="00614064"/>
    <w:rsid w:val="006161A6"/>
    <w:rsid w:val="00617CCA"/>
    <w:rsid w:val="006229A8"/>
    <w:rsid w:val="00623D62"/>
    <w:rsid w:val="00630EC1"/>
    <w:rsid w:val="00641E02"/>
    <w:rsid w:val="00656269"/>
    <w:rsid w:val="00676D80"/>
    <w:rsid w:val="00676F02"/>
    <w:rsid w:val="00682468"/>
    <w:rsid w:val="006828B6"/>
    <w:rsid w:val="00687ED7"/>
    <w:rsid w:val="00690B80"/>
    <w:rsid w:val="00694214"/>
    <w:rsid w:val="006A1B59"/>
    <w:rsid w:val="006A28CB"/>
    <w:rsid w:val="006A3C5E"/>
    <w:rsid w:val="006A5B90"/>
    <w:rsid w:val="006B0BB7"/>
    <w:rsid w:val="006B1079"/>
    <w:rsid w:val="006B1EC2"/>
    <w:rsid w:val="006B73B2"/>
    <w:rsid w:val="006F2E0E"/>
    <w:rsid w:val="006F49FF"/>
    <w:rsid w:val="007121CF"/>
    <w:rsid w:val="00714610"/>
    <w:rsid w:val="00714926"/>
    <w:rsid w:val="0071694B"/>
    <w:rsid w:val="007220DB"/>
    <w:rsid w:val="00722A86"/>
    <w:rsid w:val="00726480"/>
    <w:rsid w:val="00730B7B"/>
    <w:rsid w:val="00733271"/>
    <w:rsid w:val="007363E6"/>
    <w:rsid w:val="00736F18"/>
    <w:rsid w:val="00740D2B"/>
    <w:rsid w:val="00742FA4"/>
    <w:rsid w:val="00746480"/>
    <w:rsid w:val="007509F8"/>
    <w:rsid w:val="00751679"/>
    <w:rsid w:val="00757EDA"/>
    <w:rsid w:val="00760F42"/>
    <w:rsid w:val="00773500"/>
    <w:rsid w:val="00774C66"/>
    <w:rsid w:val="00786C75"/>
    <w:rsid w:val="00793063"/>
    <w:rsid w:val="00796A9D"/>
    <w:rsid w:val="00797432"/>
    <w:rsid w:val="007A2E8F"/>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4B65"/>
    <w:rsid w:val="00892B73"/>
    <w:rsid w:val="008A0EE9"/>
    <w:rsid w:val="008A79A8"/>
    <w:rsid w:val="008C5D26"/>
    <w:rsid w:val="008C650D"/>
    <w:rsid w:val="008D47A6"/>
    <w:rsid w:val="008E42C3"/>
    <w:rsid w:val="008F134E"/>
    <w:rsid w:val="008F33FA"/>
    <w:rsid w:val="009074ED"/>
    <w:rsid w:val="009130EA"/>
    <w:rsid w:val="00921555"/>
    <w:rsid w:val="00923443"/>
    <w:rsid w:val="00925B7D"/>
    <w:rsid w:val="009261AC"/>
    <w:rsid w:val="00933EB6"/>
    <w:rsid w:val="0093544D"/>
    <w:rsid w:val="009440C4"/>
    <w:rsid w:val="00945CEB"/>
    <w:rsid w:val="0095443E"/>
    <w:rsid w:val="00960669"/>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D5201"/>
    <w:rsid w:val="00AE09F5"/>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B01"/>
    <w:rsid w:val="00BE4469"/>
    <w:rsid w:val="00BE4855"/>
    <w:rsid w:val="00BF0D9C"/>
    <w:rsid w:val="00BF14DF"/>
    <w:rsid w:val="00BF412D"/>
    <w:rsid w:val="00BF6E5B"/>
    <w:rsid w:val="00C04787"/>
    <w:rsid w:val="00C07181"/>
    <w:rsid w:val="00C123AD"/>
    <w:rsid w:val="00C159F0"/>
    <w:rsid w:val="00C16C83"/>
    <w:rsid w:val="00C272F0"/>
    <w:rsid w:val="00C275B5"/>
    <w:rsid w:val="00C3200F"/>
    <w:rsid w:val="00C37B79"/>
    <w:rsid w:val="00C47C47"/>
    <w:rsid w:val="00C544E1"/>
    <w:rsid w:val="00C56313"/>
    <w:rsid w:val="00C65FCE"/>
    <w:rsid w:val="00C66A5C"/>
    <w:rsid w:val="00C66DFD"/>
    <w:rsid w:val="00C73520"/>
    <w:rsid w:val="00C875D6"/>
    <w:rsid w:val="00CA3E75"/>
    <w:rsid w:val="00CB3296"/>
    <w:rsid w:val="00CB3ED8"/>
    <w:rsid w:val="00CB6A32"/>
    <w:rsid w:val="00CB71EF"/>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EF7"/>
    <w:rsid w:val="00D42242"/>
    <w:rsid w:val="00D42DFD"/>
    <w:rsid w:val="00D57DA7"/>
    <w:rsid w:val="00D60CB1"/>
    <w:rsid w:val="00D61F65"/>
    <w:rsid w:val="00D62AB6"/>
    <w:rsid w:val="00D630BE"/>
    <w:rsid w:val="00D67734"/>
    <w:rsid w:val="00D73E9C"/>
    <w:rsid w:val="00D80947"/>
    <w:rsid w:val="00D94630"/>
    <w:rsid w:val="00D95883"/>
    <w:rsid w:val="00DB7DDE"/>
    <w:rsid w:val="00DC4B72"/>
    <w:rsid w:val="00DD34AB"/>
    <w:rsid w:val="00DE7D1E"/>
    <w:rsid w:val="00DF0E7E"/>
    <w:rsid w:val="00DF13E3"/>
    <w:rsid w:val="00DF3D83"/>
    <w:rsid w:val="00E00C2D"/>
    <w:rsid w:val="00E17079"/>
    <w:rsid w:val="00E21050"/>
    <w:rsid w:val="00E24FA1"/>
    <w:rsid w:val="00E369D6"/>
    <w:rsid w:val="00E4196B"/>
    <w:rsid w:val="00E44077"/>
    <w:rsid w:val="00E47C34"/>
    <w:rsid w:val="00E5258B"/>
    <w:rsid w:val="00E75870"/>
    <w:rsid w:val="00E80F8C"/>
    <w:rsid w:val="00E853BD"/>
    <w:rsid w:val="00E95CC3"/>
    <w:rsid w:val="00EA4FF0"/>
    <w:rsid w:val="00EA5521"/>
    <w:rsid w:val="00EC7361"/>
    <w:rsid w:val="00ED0252"/>
    <w:rsid w:val="00ED2420"/>
    <w:rsid w:val="00ED2CB4"/>
    <w:rsid w:val="00ED61FD"/>
    <w:rsid w:val="00EE5702"/>
    <w:rsid w:val="00EF0ADE"/>
    <w:rsid w:val="00F00931"/>
    <w:rsid w:val="00F0729F"/>
    <w:rsid w:val="00F23170"/>
    <w:rsid w:val="00F26F95"/>
    <w:rsid w:val="00F300EE"/>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01B194AE-25B2-4801-B92E-0D73F6FD11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868</Words>
  <Characters>6612</Characters>
  <Application>Microsoft Office Word</Application>
  <DocSecurity>0</DocSecurity>
  <Lines>111</Lines>
  <Paragraphs>24</Paragraphs>
  <ScaleCrop>false</ScaleCrop>
  <Company/>
  <LinksUpToDate>false</LinksUpToDate>
  <CharactersWithSpaces>7471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2026-01-07T14:34:00Z</cp:lastPrinted>
  <dcterms:created xsi:type="dcterms:W3CDTF">2026-01-20T14:07:00Z</dcterms:created>
  <dcterms:modified xsi:type="dcterms:W3CDTF">2026-01-22T12:50:00Z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